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6"/>
          <w:szCs w:val="26"/>
        </w:rPr>
      </w:pPr>
      <w:bookmarkStart w:colFirst="0" w:colLast="0" w:name="_heading=h.gjdgxs" w:id="0"/>
      <w:bookmarkEnd w:id="0"/>
      <w:r w:rsidDel="00000000" w:rsidR="00000000" w:rsidRPr="00000000">
        <w:rPr>
          <w:rFonts w:ascii="Arial" w:cs="Arial" w:eastAsia="Arial" w:hAnsi="Arial"/>
          <w:b w:val="1"/>
          <w:sz w:val="26"/>
          <w:szCs w:val="26"/>
          <w:rtl w:val="0"/>
        </w:rPr>
        <w:t xml:space="preserve">AVISO DE PRIVACIDAD INTEGRAL</w:t>
      </w:r>
    </w:p>
    <w:p w:rsidR="00000000" w:rsidDel="00000000" w:rsidP="00000000" w:rsidRDefault="00000000" w:rsidRPr="00000000" w14:paraId="00000002">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Convocatoria Reconocimiento de Prácticas de Transparencia Proactiva del ejercicio 2023 para los sujetos obligados del estado de Nuevo León</w:t>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conforme a lo siguiente:</w:t>
      </w:r>
    </w:p>
    <w:p w:rsidR="00000000" w:rsidDel="00000000" w:rsidP="00000000" w:rsidRDefault="00000000" w:rsidRPr="00000000" w14:paraId="00000005">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6">
      <w:pPr>
        <w:ind w:left="-709" w:right="-377" w:firstLine="0"/>
        <w:jc w:val="both"/>
        <w:rPr>
          <w:rFonts w:ascii="Arial" w:cs="Arial" w:eastAsia="Arial" w:hAnsi="Arial"/>
        </w:rPr>
      </w:pPr>
      <w:r w:rsidDel="00000000" w:rsidR="00000000" w:rsidRPr="00000000">
        <w:rPr>
          <w:rFonts w:ascii="Arial" w:cs="Arial" w:eastAsia="Arial" w:hAnsi="Arial"/>
          <w:rtl w:val="0"/>
        </w:rPr>
        <w:t xml:space="preserve">El Instituto Estatal de Transparencia, Acceso a la Información y Protección de Datos Personales (INFONL), con domicilio en Avenida Constitución 1465-1, Col. Centro, en el Municipio de Monterrey, Nuevo León, C.P. 64000, es el responsable del tratamiento de los datos personales que nos proporcione, los cuales serán protegidos conforme a lo dispuesto en los artículos 3, fracción II, 26 y 27 de la Ley de Protección de Datos Personales en Posesión de Sujetos Obligados del Estado De Nuevo León y demás normatividad que resulte aplicable.</w:t>
      </w:r>
    </w:p>
    <w:p w:rsidR="00000000" w:rsidDel="00000000" w:rsidP="00000000" w:rsidRDefault="00000000" w:rsidRPr="00000000" w14:paraId="00000007">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8">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Los datos personales que recabemos los utilizaremos para las siguientes finalidades:</w:t>
      </w:r>
    </w:p>
    <w:p w:rsidR="00000000" w:rsidDel="00000000" w:rsidP="00000000" w:rsidRDefault="00000000" w:rsidRPr="00000000" w14:paraId="00000009">
      <w:pPr>
        <w:ind w:left="-709" w:right="-377"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Para el registro e inscripción de los participantes, así como para mantener una comunicación efectiva con los participantes en caso de que así se requiera. De manera adicional, los datos personales que nos proporcione podrán ser utilizados para generar estadísticas e informes sobre los resultados. No obstante, es importante señalar que, en estas estadísticas e informes, la información no estará asociada con el titular de los datos personales, por lo que no será posible identificarlo.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ind w:left="-709" w:right="-377" w:firstLine="0"/>
        <w:jc w:val="both"/>
        <w:rPr>
          <w:rFonts w:ascii="Arial" w:cs="Arial" w:eastAsia="Arial" w:hAnsi="Arial"/>
        </w:rPr>
      </w:pPr>
      <w:r w:rsidDel="00000000" w:rsidR="00000000" w:rsidRPr="00000000">
        <w:rPr>
          <w:rFonts w:ascii="Arial" w:cs="Arial" w:eastAsia="Arial" w:hAnsi="Arial"/>
          <w:rtl w:val="0"/>
        </w:rPr>
        <w:t xml:space="preserve">De manera adicional, los datos personales que nos proporcione serán utilizados con fines de control, estadísticos, así como para elaborar informes de los resultados. No obstante, es importante señalar que, en estas estadísticas e informes, la información no estará asociada con el titular de los datos personales, por lo que no será posible identificarlo.</w:t>
      </w:r>
    </w:p>
    <w:p w:rsidR="00000000" w:rsidDel="00000000" w:rsidP="00000000" w:rsidRDefault="00000000" w:rsidRPr="00000000" w14:paraId="0000000D">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E">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Para las finalidades antes señaladas solicitamos los siguientes datos personales:</w:t>
      </w:r>
    </w:p>
    <w:p w:rsidR="00000000" w:rsidDel="00000000" w:rsidP="00000000" w:rsidRDefault="00000000" w:rsidRPr="00000000" w14:paraId="0000000F">
      <w:pPr>
        <w:ind w:left="-709" w:right="-377" w:firstLine="0"/>
        <w:jc w:val="both"/>
        <w:rPr>
          <w:rFonts w:ascii="Arial" w:cs="Arial" w:eastAsia="Arial" w:hAnsi="Arial"/>
        </w:rPr>
      </w:pPr>
      <w:r w:rsidDel="00000000" w:rsidR="00000000" w:rsidRPr="00000000">
        <w:rPr>
          <w:rFonts w:ascii="Arial" w:cs="Arial" w:eastAsia="Arial" w:hAnsi="Arial"/>
          <w:rtl w:val="0"/>
        </w:rPr>
        <w:t xml:space="preserve">Datos de identificación y de contacto.</w:t>
      </w:r>
    </w:p>
    <w:p w:rsidR="00000000" w:rsidDel="00000000" w:rsidP="00000000" w:rsidRDefault="00000000" w:rsidRPr="00000000" w14:paraId="00000010">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1">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Para las finalidades antes señaladas solicitamos los siguientes datos personales sensibles: </w:t>
      </w:r>
    </w:p>
    <w:p w:rsidR="00000000" w:rsidDel="00000000" w:rsidP="00000000" w:rsidRDefault="00000000" w:rsidRPr="00000000" w14:paraId="00000012">
      <w:pPr>
        <w:ind w:left="-709" w:right="-377" w:firstLine="0"/>
        <w:jc w:val="both"/>
        <w:rPr>
          <w:rFonts w:ascii="Arial" w:cs="Arial" w:eastAsia="Arial" w:hAnsi="Arial"/>
        </w:rPr>
      </w:pPr>
      <w:r w:rsidDel="00000000" w:rsidR="00000000" w:rsidRPr="00000000">
        <w:rPr>
          <w:rFonts w:ascii="Arial" w:cs="Arial" w:eastAsia="Arial" w:hAnsi="Arial"/>
          <w:rtl w:val="0"/>
        </w:rPr>
        <w:t xml:space="preserve">No se solicitan datos sensibles. </w:t>
      </w:r>
    </w:p>
    <w:p w:rsidR="00000000" w:rsidDel="00000000" w:rsidP="00000000" w:rsidRDefault="00000000" w:rsidRPr="00000000" w14:paraId="00000013">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4">
      <w:pPr>
        <w:ind w:left="-709" w:right="-377"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5">
      <w:pPr>
        <w:ind w:left="-709" w:right="-377"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6">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Transferencias:</w:t>
      </w:r>
    </w:p>
    <w:p w:rsidR="00000000" w:rsidDel="00000000" w:rsidP="00000000" w:rsidRDefault="00000000" w:rsidRPr="00000000" w14:paraId="00000017">
      <w:pPr>
        <w:ind w:left="-709" w:right="-377" w:firstLine="0"/>
        <w:jc w:val="both"/>
        <w:rPr>
          <w:rFonts w:ascii="Arial" w:cs="Arial" w:eastAsia="Arial" w:hAnsi="Arial"/>
        </w:rPr>
      </w:pPr>
      <w:r w:rsidDel="00000000" w:rsidR="00000000" w:rsidRPr="00000000">
        <w:rPr>
          <w:rFonts w:ascii="Arial" w:cs="Arial" w:eastAsia="Arial" w:hAnsi="Arial"/>
          <w:rtl w:val="0"/>
        </w:rPr>
        <w:t xml:space="preserve">Se informa que no se realizarán transferencias de datos personales, salvo aquéllas que sean necesarias para atender requerimientos de información de una autoridad competente, que estén debidamente fundados y motivados.</w:t>
      </w:r>
    </w:p>
    <w:p w:rsidR="00000000" w:rsidDel="00000000" w:rsidP="00000000" w:rsidRDefault="00000000" w:rsidRPr="00000000" w14:paraId="00000018">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9">
      <w:pPr>
        <w:ind w:left="-709" w:right="-377" w:firstLine="0"/>
        <w:jc w:val="both"/>
        <w:rPr>
          <w:rFonts w:ascii="Arial" w:cs="Arial" w:eastAsia="Arial" w:hAnsi="Arial"/>
        </w:rPr>
      </w:pPr>
      <w:r w:rsidDel="00000000" w:rsidR="00000000" w:rsidRPr="00000000">
        <w:rPr>
          <w:rFonts w:ascii="Arial" w:cs="Arial" w:eastAsia="Arial" w:hAnsi="Arial"/>
          <w:rtl w:val="0"/>
        </w:rPr>
        <w:t xml:space="preserve">Adicionalmente se informa que sus datos personales pueden ser obtenidos a través de una herramienta digital denominada Google Forms y puede consultar las políticas de privacidad y términos de este servicio en </w:t>
      </w:r>
      <w:hyperlink r:id="rId7">
        <w:r w:rsidDel="00000000" w:rsidR="00000000" w:rsidRPr="00000000">
          <w:rPr>
            <w:rFonts w:ascii="Arial" w:cs="Arial" w:eastAsia="Arial" w:hAnsi="Arial"/>
            <w:color w:val="1155cc"/>
            <w:u w:val="single"/>
            <w:rtl w:val="0"/>
          </w:rPr>
          <w:t xml:space="preserve">https://policies.google.com/privacy?hl=es</w:t>
        </w:r>
      </w:hyperlink>
      <w:r w:rsidDel="00000000" w:rsidR="00000000" w:rsidRPr="00000000">
        <w:rPr>
          <w:rtl w:val="0"/>
        </w:rPr>
      </w:r>
    </w:p>
    <w:p w:rsidR="00000000" w:rsidDel="00000000" w:rsidP="00000000" w:rsidRDefault="00000000" w:rsidRPr="00000000" w14:paraId="0000001A">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B">
      <w:pPr>
        <w:ind w:left="-700" w:right="-380" w:firstLine="0"/>
        <w:jc w:val="both"/>
        <w:rPr>
          <w:rFonts w:ascii="Arial" w:cs="Arial" w:eastAsia="Arial" w:hAnsi="Arial"/>
          <w:b w:val="1"/>
        </w:rPr>
      </w:pPr>
      <w:r w:rsidDel="00000000" w:rsidR="00000000" w:rsidRPr="00000000">
        <w:rPr>
          <w:rFonts w:ascii="Arial" w:cs="Arial" w:eastAsia="Arial" w:hAnsi="Arial"/>
          <w:b w:val="1"/>
          <w:rtl w:val="0"/>
        </w:rPr>
        <w:t xml:space="preserve">Fundamento legal que faculta al INFONL para realizar tratamiento de datos personales:</w:t>
      </w:r>
    </w:p>
    <w:p w:rsidR="00000000" w:rsidDel="00000000" w:rsidP="00000000" w:rsidRDefault="00000000" w:rsidRPr="00000000" w14:paraId="0000001C">
      <w:pPr>
        <w:ind w:left="-709" w:right="-377" w:firstLine="0"/>
        <w:jc w:val="both"/>
        <w:rPr>
          <w:rFonts w:ascii="Arial" w:cs="Arial" w:eastAsia="Arial" w:hAnsi="Arial"/>
        </w:rPr>
      </w:pPr>
      <w:r w:rsidDel="00000000" w:rsidR="00000000" w:rsidRPr="00000000">
        <w:rPr>
          <w:rFonts w:ascii="Arial" w:cs="Arial" w:eastAsia="Arial" w:hAnsi="Arial"/>
          <w:rtl w:val="0"/>
        </w:rPr>
        <w:t xml:space="preserve">El INFONL trata los datos personales antes señalados con fundamento en los artículos 3, fracción II, 27, 29 y 30 de la Ley de Protección de Datos Personales en Posesión de Sujetos Obligados del Estado de Nuevo León, en el artículo 91, fracción XI de la Ley General de Protección de Datos Personales en Posesión de Sujetos Obligados, en los artículos 54, fracciones IV, XXXII, XLIV y 75 de la Ley de Transparencia y Acceso a la Información Pública del Estado de Nuevo León, así como el artículo 66 fracciones I, II, III, IV, V y VII del Reglamento Interior del Instituto Estatal de Transparencia, Acceso a la Información y Protección de Datos Personales.</w:t>
      </w:r>
    </w:p>
    <w:p w:rsidR="00000000" w:rsidDel="00000000" w:rsidP="00000000" w:rsidRDefault="00000000" w:rsidRPr="00000000" w14:paraId="0000001D">
      <w:pPr>
        <w:ind w:left="-709" w:right="-377"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E">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Manifestación de negativa para el Tratamiento de sus Datos Personales:</w:t>
      </w:r>
    </w:p>
    <w:p w:rsidR="00000000" w:rsidDel="00000000" w:rsidP="00000000" w:rsidRDefault="00000000" w:rsidRPr="00000000" w14:paraId="0000001F">
      <w:pPr>
        <w:ind w:left="-709" w:right="-377" w:firstLine="0"/>
        <w:jc w:val="both"/>
        <w:rPr>
          <w:rFonts w:ascii="Arial" w:cs="Arial" w:eastAsia="Arial" w:hAnsi="Arial"/>
        </w:rPr>
      </w:pPr>
      <w:r w:rsidDel="00000000" w:rsidR="00000000" w:rsidRPr="00000000">
        <w:rPr>
          <w:rFonts w:ascii="Arial" w:cs="Arial" w:eastAsia="Arial" w:hAnsi="Arial"/>
          <w:rtl w:val="0"/>
        </w:rPr>
        <w:t xml:space="preserve">Para ejercer sus derechos de cancelación u oposición al tratamiento de los datos personales que Usted nos proporcione, se hace de su conocimiento que podrá realizarlo directamente ante la Unidad de Transparencia en las instalaciones del INFONL ubicado en Av. Constitución #1465-1 Pte, zona centro del municipio de Monterrey con Código Postal 64000 o por medio electrónico en el correo </w:t>
      </w:r>
      <w:hyperlink r:id="rId8">
        <w:r w:rsidDel="00000000" w:rsidR="00000000" w:rsidRPr="00000000">
          <w:rPr>
            <w:rFonts w:ascii="Arial" w:cs="Arial" w:eastAsia="Arial" w:hAnsi="Arial"/>
            <w:color w:val="0000ff"/>
            <w:u w:val="single"/>
            <w:rtl w:val="0"/>
          </w:rPr>
          <w:t xml:space="preserve">ut@infonl.mx</w:t>
        </w:r>
      </w:hyperlink>
      <w:r w:rsidDel="00000000" w:rsidR="00000000" w:rsidRPr="00000000">
        <w:rPr>
          <w:rFonts w:ascii="Arial" w:cs="Arial" w:eastAsia="Arial" w:hAnsi="Arial"/>
          <w:rtl w:val="0"/>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rsidR="00000000" w:rsidDel="00000000" w:rsidP="00000000" w:rsidRDefault="00000000" w:rsidRPr="00000000" w14:paraId="00000020">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1">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Mecanismos para el ejercicio de los derechos ARCO:</w:t>
      </w:r>
    </w:p>
    <w:p w:rsidR="00000000" w:rsidDel="00000000" w:rsidP="00000000" w:rsidRDefault="00000000" w:rsidRPr="00000000" w14:paraId="00000022">
      <w:pPr>
        <w:ind w:left="-709" w:right="-377" w:firstLine="0"/>
        <w:jc w:val="both"/>
        <w:rPr>
          <w:rFonts w:ascii="Arial" w:cs="Arial" w:eastAsia="Arial" w:hAnsi="Arial"/>
        </w:rPr>
      </w:pPr>
      <w:r w:rsidDel="00000000" w:rsidR="00000000" w:rsidRPr="00000000">
        <w:rPr>
          <w:rFonts w:ascii="Arial" w:cs="Arial" w:eastAsia="Arial" w:hAnsi="Arial"/>
          <w:highlight w:val="white"/>
          <w:rtl w:val="0"/>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Del="00000000" w:rsidR="00000000" w:rsidRPr="00000000">
        <w:rPr>
          <w:rFonts w:ascii="Arial" w:cs="Arial" w:eastAsia="Arial" w:hAnsi="Arial"/>
          <w:rtl w:val="0"/>
        </w:rPr>
        <w:t xml:space="preserve">presentando una solicitud de derechos ARCO, pudiendo presentar el formato único de solicitud de ARCO establecido por el INFONL para simplificar el ejercicio de dichos derechos, especificando el derecho que desea ejercer, pudiendo acudir directamente ante la Unidad de Transparencia de este Instituto, ubicado en Avenida Constitución 1465-1, colonia Centro, C.P. 64000, Monterrey, Nuevo León, o bien, a través de la Plataforma Nacional de Transparencia (</w:t>
      </w:r>
      <w:hyperlink r:id="rId9">
        <w:r w:rsidDel="00000000" w:rsidR="00000000" w:rsidRPr="00000000">
          <w:rPr>
            <w:rFonts w:ascii="Arial" w:cs="Arial" w:eastAsia="Arial" w:hAnsi="Arial"/>
            <w:color w:val="1155cc"/>
            <w:u w:val="single"/>
            <w:rtl w:val="0"/>
          </w:rPr>
          <w:t xml:space="preserve">http://www.plataformadetransparencia.org.mx/</w:t>
        </w:r>
      </w:hyperlink>
      <w:r w:rsidDel="00000000" w:rsidR="00000000" w:rsidRPr="00000000">
        <w:rPr>
          <w:rFonts w:ascii="Arial" w:cs="Arial" w:eastAsia="Arial" w:hAnsi="Arial"/>
          <w:rtl w:val="0"/>
        </w:rPr>
        <w:t xml:space="preserve">).</w:t>
      </w:r>
    </w:p>
    <w:p w:rsidR="00000000" w:rsidDel="00000000" w:rsidP="00000000" w:rsidRDefault="00000000" w:rsidRPr="00000000" w14:paraId="00000023">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4">
      <w:pPr>
        <w:ind w:left="-709" w:right="-377" w:firstLine="0"/>
        <w:jc w:val="both"/>
        <w:rPr>
          <w:rFonts w:ascii="Arial" w:cs="Arial" w:eastAsia="Arial" w:hAnsi="Arial"/>
        </w:rPr>
      </w:pPr>
      <w:r w:rsidDel="00000000" w:rsidR="00000000" w:rsidRPr="00000000">
        <w:rPr>
          <w:rFonts w:ascii="Arial" w:cs="Arial" w:eastAsia="Arial" w:hAnsi="Arial"/>
          <w:rtl w:val="0"/>
        </w:rPr>
        <w:t xml:space="preserve">Aunado a lo anterior, usted tiene el derecho de acceder a los datos personales que obren en posesión del </w:t>
      </w:r>
      <w:r w:rsidDel="00000000" w:rsidR="00000000" w:rsidRPr="00000000">
        <w:rPr>
          <w:rFonts w:ascii="Arial" w:cs="Arial" w:eastAsia="Arial" w:hAnsi="Arial"/>
          <w:rtl w:val="0"/>
        </w:rPr>
        <w:t xml:space="preserve">INFONL y</w:t>
      </w:r>
      <w:r w:rsidDel="00000000" w:rsidR="00000000" w:rsidRPr="00000000">
        <w:rPr>
          <w:rFonts w:ascii="Arial" w:cs="Arial" w:eastAsia="Arial" w:hAnsi="Arial"/>
          <w:rtl w:val="0"/>
        </w:rPr>
        <w:t xml:space="preserve">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de Protección de Datos Personales para los sujetos obligados del Estado de Nuevo León,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000000" w:rsidDel="00000000" w:rsidP="00000000" w:rsidRDefault="00000000" w:rsidRPr="00000000" w14:paraId="00000025">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6">
      <w:pPr>
        <w:ind w:left="-709" w:right="-377" w:firstLine="0"/>
        <w:jc w:val="both"/>
        <w:rPr>
          <w:rFonts w:ascii="Arial" w:cs="Arial" w:eastAsia="Arial" w:hAnsi="Arial"/>
          <w:u w:val="single"/>
        </w:rPr>
      </w:pPr>
      <w:r w:rsidDel="00000000" w:rsidR="00000000" w:rsidRPr="00000000">
        <w:rPr>
          <w:rFonts w:ascii="Arial" w:cs="Arial" w:eastAsia="Arial" w:hAnsi="Arial"/>
          <w:u w:val="single"/>
          <w:rtl w:val="0"/>
        </w:rPr>
        <w:t xml:space="preserve">Requisitos para presentar su solicitud: </w:t>
      </w:r>
    </w:p>
    <w:p w:rsidR="00000000" w:rsidDel="00000000" w:rsidP="00000000" w:rsidRDefault="00000000" w:rsidRPr="00000000" w14:paraId="00000027">
      <w:pPr>
        <w:ind w:left="-709" w:right="-377" w:firstLine="0"/>
        <w:jc w:val="both"/>
        <w:rPr>
          <w:rFonts w:ascii="Arial" w:cs="Arial" w:eastAsia="Arial" w:hAnsi="Arial"/>
        </w:rPr>
      </w:pPr>
      <w:r w:rsidDel="00000000" w:rsidR="00000000" w:rsidRPr="00000000">
        <w:rPr>
          <w:rFonts w:ascii="Arial" w:cs="Arial" w:eastAsia="Arial" w:hAnsi="Arial"/>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28">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0"/>
          <w:numId w:val="2"/>
        </w:numPr>
        <w:ind w:left="720" w:right="-377" w:hanging="360"/>
        <w:jc w:val="both"/>
        <w:rPr>
          <w:rFonts w:ascii="Arial" w:cs="Arial" w:eastAsia="Arial" w:hAnsi="Arial"/>
          <w:u w:val="none"/>
        </w:rPr>
      </w:pPr>
      <w:r w:rsidDel="00000000" w:rsidR="00000000" w:rsidRPr="00000000">
        <w:rPr>
          <w:rFonts w:ascii="Arial" w:cs="Arial" w:eastAsia="Arial" w:hAnsi="Arial"/>
          <w:rtl w:val="0"/>
        </w:rPr>
        <w:t xml:space="preserve">El nombre del titular y su domicilio o cualquier otro medio para recibir notificaciones; </w:t>
      </w:r>
    </w:p>
    <w:p w:rsidR="00000000" w:rsidDel="00000000" w:rsidP="00000000" w:rsidRDefault="00000000" w:rsidRPr="00000000" w14:paraId="0000002A">
      <w:pPr>
        <w:numPr>
          <w:ilvl w:val="0"/>
          <w:numId w:val="2"/>
        </w:numPr>
        <w:ind w:left="720" w:right="-377" w:hanging="360"/>
        <w:jc w:val="both"/>
        <w:rPr>
          <w:rFonts w:ascii="Arial" w:cs="Arial" w:eastAsia="Arial" w:hAnsi="Arial"/>
          <w:u w:val="none"/>
        </w:rPr>
      </w:pPr>
      <w:r w:rsidDel="00000000" w:rsidR="00000000" w:rsidRPr="00000000">
        <w:rPr>
          <w:rFonts w:ascii="Arial" w:cs="Arial" w:eastAsia="Arial" w:hAnsi="Arial"/>
          <w:rtl w:val="0"/>
        </w:rPr>
        <w:t xml:space="preserve">Los documentos que acrediten la identidad del titular y, en su caso, la personalidad e identidad de su representante;</w:t>
      </w:r>
    </w:p>
    <w:p w:rsidR="00000000" w:rsidDel="00000000" w:rsidP="00000000" w:rsidRDefault="00000000" w:rsidRPr="00000000" w14:paraId="0000002B">
      <w:pPr>
        <w:numPr>
          <w:ilvl w:val="0"/>
          <w:numId w:val="2"/>
        </w:numPr>
        <w:ind w:left="720" w:right="-377" w:hanging="360"/>
        <w:jc w:val="both"/>
        <w:rPr>
          <w:rFonts w:ascii="Arial" w:cs="Arial" w:eastAsia="Arial" w:hAnsi="Arial"/>
          <w:u w:val="none"/>
        </w:rPr>
      </w:pPr>
      <w:r w:rsidDel="00000000" w:rsidR="00000000" w:rsidRPr="00000000">
        <w:rPr>
          <w:rFonts w:ascii="Arial" w:cs="Arial" w:eastAsia="Arial" w:hAnsi="Arial"/>
          <w:rtl w:val="0"/>
        </w:rPr>
        <w:t xml:space="preserve">De ser posible, el área responsable que trata los datos personales y ante el cual se presenta la solicitud; </w:t>
      </w:r>
    </w:p>
    <w:p w:rsidR="00000000" w:rsidDel="00000000" w:rsidP="00000000" w:rsidRDefault="00000000" w:rsidRPr="00000000" w14:paraId="0000002C">
      <w:pPr>
        <w:numPr>
          <w:ilvl w:val="0"/>
          <w:numId w:val="2"/>
        </w:numPr>
        <w:ind w:left="720" w:right="-377" w:hanging="360"/>
        <w:jc w:val="both"/>
        <w:rPr>
          <w:rFonts w:ascii="Arial" w:cs="Arial" w:eastAsia="Arial" w:hAnsi="Arial"/>
          <w:u w:val="none"/>
        </w:rPr>
      </w:pPr>
      <w:r w:rsidDel="00000000" w:rsidR="00000000" w:rsidRPr="00000000">
        <w:rPr>
          <w:rFonts w:ascii="Arial" w:cs="Arial" w:eastAsia="Arial" w:hAnsi="Arial"/>
          <w:rtl w:val="0"/>
        </w:rPr>
        <w:t xml:space="preserve">La descripción clara y precisa de los datos personales respecto de los que se busca ejercer alguno de los derechos ARCO, salvo que se trate del derecho de acceso; </w:t>
      </w:r>
    </w:p>
    <w:p w:rsidR="00000000" w:rsidDel="00000000" w:rsidP="00000000" w:rsidRDefault="00000000" w:rsidRPr="00000000" w14:paraId="0000002D">
      <w:pPr>
        <w:numPr>
          <w:ilvl w:val="0"/>
          <w:numId w:val="2"/>
        </w:numPr>
        <w:ind w:left="720" w:right="-377" w:hanging="360"/>
        <w:jc w:val="both"/>
        <w:rPr>
          <w:rFonts w:ascii="Arial" w:cs="Arial" w:eastAsia="Arial" w:hAnsi="Arial"/>
          <w:u w:val="none"/>
        </w:rPr>
      </w:pPr>
      <w:r w:rsidDel="00000000" w:rsidR="00000000" w:rsidRPr="00000000">
        <w:rPr>
          <w:rFonts w:ascii="Arial" w:cs="Arial" w:eastAsia="Arial" w:hAnsi="Arial"/>
          <w:rtl w:val="0"/>
        </w:rPr>
        <w:t xml:space="preserve">La descripción del derecho ARCO que se pretende ejercer, o bien, lo que solicita el titular; </w:t>
      </w:r>
    </w:p>
    <w:p w:rsidR="00000000" w:rsidDel="00000000" w:rsidP="00000000" w:rsidRDefault="00000000" w:rsidRPr="00000000" w14:paraId="0000002E">
      <w:pPr>
        <w:numPr>
          <w:ilvl w:val="0"/>
          <w:numId w:val="2"/>
        </w:numPr>
        <w:ind w:left="720" w:right="-377" w:hanging="360"/>
        <w:jc w:val="both"/>
        <w:rPr>
          <w:rFonts w:ascii="Arial" w:cs="Arial" w:eastAsia="Arial" w:hAnsi="Arial"/>
          <w:u w:val="none"/>
        </w:rPr>
      </w:pPr>
      <w:r w:rsidDel="00000000" w:rsidR="00000000" w:rsidRPr="00000000">
        <w:rPr>
          <w:rFonts w:ascii="Arial" w:cs="Arial" w:eastAsia="Arial" w:hAnsi="Arial"/>
          <w:rtl w:val="0"/>
        </w:rPr>
        <w:t xml:space="preserve">Cualquier otro elemento o documento que facilite la localización de los datos personales, en su caso. </w:t>
      </w:r>
    </w:p>
    <w:p w:rsidR="00000000" w:rsidDel="00000000" w:rsidP="00000000" w:rsidRDefault="00000000" w:rsidRPr="00000000" w14:paraId="0000002F">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0">
      <w:pPr>
        <w:ind w:left="-709" w:right="-377" w:firstLine="0"/>
        <w:jc w:val="both"/>
        <w:rPr>
          <w:rFonts w:ascii="Arial" w:cs="Arial" w:eastAsia="Arial" w:hAnsi="Arial"/>
        </w:rPr>
      </w:pPr>
      <w:r w:rsidDel="00000000" w:rsidR="00000000" w:rsidRPr="00000000">
        <w:rPr>
          <w:rFonts w:ascii="Arial" w:cs="Arial" w:eastAsia="Arial" w:hAnsi="Arial"/>
          <w:rtl w:val="0"/>
        </w:rPr>
        <w:t xml:space="preserve">Adicionalmente resulta importante destacar que en el ejercicio de los derechos ARCO, deberá considerar lo que a continuación se menciona:</w:t>
      </w:r>
    </w:p>
    <w:p w:rsidR="00000000" w:rsidDel="00000000" w:rsidP="00000000" w:rsidRDefault="00000000" w:rsidRPr="00000000" w14:paraId="00000031">
      <w:pPr>
        <w:ind w:left="-709" w:right="-377" w:firstLine="0"/>
        <w:jc w:val="both"/>
        <w:rPr>
          <w:rFonts w:ascii="Arial" w:cs="Arial" w:eastAsia="Arial" w:hAnsi="Arial"/>
        </w:rPr>
      </w:pPr>
      <w:r w:rsidDel="00000000" w:rsidR="00000000" w:rsidRPr="00000000">
        <w:rPr>
          <w:rtl w:val="0"/>
        </w:rPr>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6075"/>
        <w:tblGridChange w:id="0">
          <w:tblGrid>
            <w:gridCol w:w="2790"/>
            <w:gridCol w:w="6075"/>
          </w:tblGrid>
        </w:tblGridChange>
      </w:tblGrid>
      <w:tr>
        <w:trPr>
          <w:cantSplit w:val="0"/>
          <w:trHeight w:val="125.9765625" w:hRule="atLeast"/>
          <w:tblHeader w:val="0"/>
        </w:trPr>
        <w:tc>
          <w:tcPr>
            <w:gridSpan w:val="2"/>
            <w:tcBorders>
              <w:top w:color="bfbfbf" w:space="0" w:sz="6" w:val="single"/>
              <w:left w:color="bfbfbf" w:space="0" w:sz="6" w:val="single"/>
              <w:bottom w:color="bfbfbf" w:space="0" w:sz="6" w:val="single"/>
              <w:right w:color="bfbfbf" w:space="0" w:sz="6" w:val="single"/>
            </w:tcBorders>
            <w:shd w:fill="aeaaaa" w:val="clear"/>
            <w:tcMar>
              <w:top w:w="0.0" w:type="dxa"/>
              <w:left w:w="100.0" w:type="dxa"/>
              <w:bottom w:w="0.0" w:type="dxa"/>
              <w:right w:w="100.0" w:type="dxa"/>
            </w:tcMar>
            <w:vAlign w:val="top"/>
          </w:tcPr>
          <w:p w:rsidR="00000000" w:rsidDel="00000000" w:rsidP="00000000" w:rsidRDefault="00000000" w:rsidRPr="00000000" w14:paraId="00000032">
            <w:pPr>
              <w:spacing w:after="0" w:before="0" w:lineRule="auto"/>
              <w:jc w:val="center"/>
              <w:rPr>
                <w:rFonts w:ascii="Arial" w:cs="Arial" w:eastAsia="Arial" w:hAnsi="Arial"/>
              </w:rPr>
            </w:pPr>
            <w:r w:rsidDel="00000000" w:rsidR="00000000" w:rsidRPr="00000000">
              <w:rPr>
                <w:rFonts w:ascii="Arial" w:cs="Arial" w:eastAsia="Arial" w:hAnsi="Arial"/>
                <w:rtl w:val="0"/>
              </w:rPr>
              <w:t xml:space="preserve">Consideraciones para el presentar una solicitud de derechos ARCO</w:t>
            </w:r>
          </w:p>
        </w:tc>
      </w:tr>
      <w:tr>
        <w:trPr>
          <w:cantSplit w:val="0"/>
          <w:trHeight w:val="555" w:hRule="atLeast"/>
          <w:tblHeader w:val="0"/>
        </w:trPr>
        <w:tc>
          <w:tcPr>
            <w:tcBorders>
              <w:top w:color="000000" w:space="0" w:sz="0" w:val="nil"/>
              <w:left w:color="bfbfbf" w:space="0" w:sz="6" w:val="single"/>
              <w:bottom w:color="bfbfbf" w:space="0" w:sz="6" w:val="single"/>
              <w:right w:color="bfbfbf" w:space="0" w:sz="6" w:val="single"/>
            </w:tcBorders>
            <w:shd w:fill="d9d9d9" w:val="clear"/>
            <w:tcMar>
              <w:top w:w="0.0" w:type="dxa"/>
              <w:left w:w="100.0" w:type="dxa"/>
              <w:bottom w:w="0.0" w:type="dxa"/>
              <w:right w:w="100.0" w:type="dxa"/>
            </w:tcMar>
            <w:vAlign w:val="top"/>
          </w:tcPr>
          <w:p w:rsidR="00000000" w:rsidDel="00000000" w:rsidP="00000000" w:rsidRDefault="00000000" w:rsidRPr="00000000" w14:paraId="00000034">
            <w:pPr>
              <w:spacing w:after="0" w:before="0" w:lineRule="auto"/>
              <w:jc w:val="both"/>
              <w:rPr>
                <w:rFonts w:ascii="Arial" w:cs="Arial" w:eastAsia="Arial" w:hAnsi="Arial"/>
              </w:rPr>
            </w:pPr>
            <w:r w:rsidDel="00000000" w:rsidR="00000000" w:rsidRPr="00000000">
              <w:rPr>
                <w:rFonts w:ascii="Arial" w:cs="Arial" w:eastAsia="Arial" w:hAnsi="Arial"/>
                <w:rtl w:val="0"/>
              </w:rPr>
              <w:t xml:space="preserve">Derecho que pretende ejercer</w:t>
            </w:r>
          </w:p>
        </w:tc>
        <w:tc>
          <w:tcPr>
            <w:tcBorders>
              <w:top w:color="000000" w:space="0" w:sz="0" w:val="nil"/>
              <w:left w:color="000000" w:space="0" w:sz="0" w:val="nil"/>
              <w:bottom w:color="bfbfbf" w:space="0" w:sz="6" w:val="single"/>
              <w:right w:color="bfbfbf" w:space="0" w:sz="6" w:val="single"/>
            </w:tcBorders>
            <w:shd w:fill="d9d9d9" w:val="clear"/>
            <w:tcMar>
              <w:top w:w="0.0" w:type="dxa"/>
              <w:left w:w="100.0" w:type="dxa"/>
              <w:bottom w:w="0.0" w:type="dxa"/>
              <w:right w:w="100.0" w:type="dxa"/>
            </w:tcMar>
            <w:vAlign w:val="top"/>
          </w:tcPr>
          <w:p w:rsidR="00000000" w:rsidDel="00000000" w:rsidP="00000000" w:rsidRDefault="00000000" w:rsidRPr="00000000" w14:paraId="00000035">
            <w:pPr>
              <w:spacing w:after="0" w:before="0" w:lineRule="auto"/>
              <w:jc w:val="center"/>
              <w:rPr>
                <w:rFonts w:ascii="Arial" w:cs="Arial" w:eastAsia="Arial" w:hAnsi="Arial"/>
              </w:rPr>
            </w:pPr>
            <w:r w:rsidDel="00000000" w:rsidR="00000000" w:rsidRPr="00000000">
              <w:rPr>
                <w:rFonts w:ascii="Arial" w:cs="Arial" w:eastAsia="Arial" w:hAnsi="Arial"/>
                <w:rtl w:val="0"/>
              </w:rPr>
              <w:t xml:space="preserve">Consideración que podrá realizar el titular</w:t>
            </w:r>
          </w:p>
        </w:tc>
      </w:tr>
      <w:tr>
        <w:trPr>
          <w:cantSplit w:val="0"/>
          <w:trHeight w:val="555" w:hRule="atLeast"/>
          <w:tblHeader w:val="0"/>
        </w:trPr>
        <w:tc>
          <w:tcPr>
            <w:tcBorders>
              <w:top w:color="000000" w:space="0" w:sz="0" w:val="nil"/>
              <w:left w:color="bfbfbf" w:space="0" w:sz="6" w:val="single"/>
              <w:bottom w:color="bfbfbf" w:space="0" w:sz="6" w:val="single"/>
              <w:right w:color="bfbfbf"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36">
            <w:pPr>
              <w:spacing w:after="0" w:before="0" w:lineRule="auto"/>
              <w:jc w:val="both"/>
              <w:rPr>
                <w:rFonts w:ascii="Arial" w:cs="Arial" w:eastAsia="Arial" w:hAnsi="Arial"/>
              </w:rPr>
            </w:pPr>
            <w:r w:rsidDel="00000000" w:rsidR="00000000" w:rsidRPr="00000000">
              <w:rPr>
                <w:rFonts w:ascii="Arial" w:cs="Arial" w:eastAsia="Arial" w:hAnsi="Arial"/>
                <w:rtl w:val="0"/>
              </w:rPr>
              <w:t xml:space="preserve">Acceso</w:t>
            </w:r>
          </w:p>
        </w:tc>
        <w:tc>
          <w:tcPr>
            <w:tcBorders>
              <w:top w:color="000000" w:space="0" w:sz="0" w:val="nil"/>
              <w:left w:color="000000" w:space="0" w:sz="0" w:val="nil"/>
              <w:bottom w:color="bfbfbf" w:space="0" w:sz="6" w:val="single"/>
              <w:right w:color="bfbfbf"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7">
            <w:pPr>
              <w:spacing w:after="0" w:before="0" w:lineRule="auto"/>
              <w:jc w:val="both"/>
              <w:rPr>
                <w:rFonts w:ascii="Arial" w:cs="Arial" w:eastAsia="Arial" w:hAnsi="Arial"/>
              </w:rPr>
            </w:pPr>
            <w:r w:rsidDel="00000000" w:rsidR="00000000" w:rsidRPr="00000000">
              <w:rPr>
                <w:rFonts w:ascii="Arial" w:cs="Arial" w:eastAsia="Arial" w:hAnsi="Arial"/>
                <w:rtl w:val="0"/>
              </w:rPr>
              <w:t xml:space="preserve">Señalar la modalidad en la que prefiere que éstos se reproduzcan.</w:t>
            </w:r>
          </w:p>
        </w:tc>
      </w:tr>
      <w:tr>
        <w:trPr>
          <w:cantSplit w:val="0"/>
          <w:trHeight w:val="1095" w:hRule="atLeast"/>
          <w:tblHeader w:val="0"/>
        </w:trPr>
        <w:tc>
          <w:tcPr>
            <w:tcBorders>
              <w:top w:color="000000" w:space="0" w:sz="0" w:val="nil"/>
              <w:left w:color="bfbfbf" w:space="0" w:sz="6" w:val="single"/>
              <w:bottom w:color="bfbfbf" w:space="0" w:sz="6" w:val="single"/>
              <w:right w:color="bfbfbf"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38">
            <w:pPr>
              <w:spacing w:after="0" w:before="0" w:lineRule="auto"/>
              <w:jc w:val="both"/>
              <w:rPr>
                <w:rFonts w:ascii="Arial" w:cs="Arial" w:eastAsia="Arial" w:hAnsi="Arial"/>
              </w:rPr>
            </w:pPr>
            <w:r w:rsidDel="00000000" w:rsidR="00000000" w:rsidRPr="00000000">
              <w:rPr>
                <w:rFonts w:ascii="Arial" w:cs="Arial" w:eastAsia="Arial" w:hAnsi="Arial"/>
                <w:rtl w:val="0"/>
              </w:rPr>
              <w:t xml:space="preserve">Rectificación</w:t>
            </w:r>
          </w:p>
        </w:tc>
        <w:tc>
          <w:tcPr>
            <w:tcBorders>
              <w:top w:color="000000" w:space="0" w:sz="0" w:val="nil"/>
              <w:left w:color="000000" w:space="0" w:sz="0" w:val="nil"/>
              <w:bottom w:color="bfbfbf" w:space="0" w:sz="6" w:val="single"/>
              <w:right w:color="bfbfbf"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9">
            <w:pPr>
              <w:spacing w:after="0" w:before="0" w:lineRule="auto"/>
              <w:jc w:val="both"/>
              <w:rPr>
                <w:rFonts w:ascii="Arial" w:cs="Arial" w:eastAsia="Arial" w:hAnsi="Arial"/>
              </w:rPr>
            </w:pPr>
            <w:r w:rsidDel="00000000" w:rsidR="00000000" w:rsidRPr="00000000">
              <w:rPr>
                <w:rFonts w:ascii="Arial" w:cs="Arial" w:eastAsia="Arial" w:hAnsi="Arial"/>
                <w:rtl w:val="0"/>
              </w:rPr>
              <w:t xml:space="preserve">Ser preciso con los datos que desea corregir, asimismo podrá aportar todos los elementos necesarios a fin de que el INFONL realice la modificación correspondiente.</w:t>
            </w:r>
          </w:p>
        </w:tc>
      </w:tr>
      <w:tr>
        <w:trPr>
          <w:cantSplit w:val="0"/>
          <w:trHeight w:val="555" w:hRule="atLeast"/>
          <w:tblHeader w:val="0"/>
        </w:trPr>
        <w:tc>
          <w:tcPr>
            <w:tcBorders>
              <w:top w:color="000000" w:space="0" w:sz="0" w:val="nil"/>
              <w:left w:color="bfbfbf" w:space="0" w:sz="6" w:val="single"/>
              <w:bottom w:color="bfbfbf" w:space="0" w:sz="6" w:val="single"/>
              <w:right w:color="bfbfbf"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3A">
            <w:pPr>
              <w:spacing w:after="0" w:before="0" w:lineRule="auto"/>
              <w:jc w:val="both"/>
              <w:rPr>
                <w:rFonts w:ascii="Arial" w:cs="Arial" w:eastAsia="Arial" w:hAnsi="Arial"/>
              </w:rPr>
            </w:pPr>
            <w:r w:rsidDel="00000000" w:rsidR="00000000" w:rsidRPr="00000000">
              <w:rPr>
                <w:rFonts w:ascii="Arial" w:cs="Arial" w:eastAsia="Arial" w:hAnsi="Arial"/>
                <w:rtl w:val="0"/>
              </w:rPr>
              <w:t xml:space="preserve">Cancelación</w:t>
            </w:r>
          </w:p>
        </w:tc>
        <w:tc>
          <w:tcPr>
            <w:tcBorders>
              <w:top w:color="000000" w:space="0" w:sz="0" w:val="nil"/>
              <w:left w:color="000000" w:space="0" w:sz="0" w:val="nil"/>
              <w:bottom w:color="bfbfbf" w:space="0" w:sz="6" w:val="single"/>
              <w:right w:color="bfbfbf"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B">
            <w:pPr>
              <w:spacing w:after="0" w:before="0" w:lineRule="auto"/>
              <w:jc w:val="both"/>
              <w:rPr>
                <w:rFonts w:ascii="Arial" w:cs="Arial" w:eastAsia="Arial" w:hAnsi="Arial"/>
              </w:rPr>
            </w:pPr>
            <w:r w:rsidDel="00000000" w:rsidR="00000000" w:rsidRPr="00000000">
              <w:rPr>
                <w:rFonts w:ascii="Arial" w:cs="Arial" w:eastAsia="Arial" w:hAnsi="Arial"/>
                <w:rtl w:val="0"/>
              </w:rPr>
              <w:t xml:space="preserve">Indicar las causas que motivan a solicitar la supresión de sus datos.</w:t>
            </w:r>
          </w:p>
        </w:tc>
      </w:tr>
      <w:tr>
        <w:trPr>
          <w:cantSplit w:val="0"/>
          <w:trHeight w:val="825" w:hRule="atLeast"/>
          <w:tblHeader w:val="0"/>
        </w:trPr>
        <w:tc>
          <w:tcPr>
            <w:tcBorders>
              <w:top w:color="000000" w:space="0" w:sz="0" w:val="nil"/>
              <w:left w:color="bfbfbf" w:space="0" w:sz="6" w:val="single"/>
              <w:bottom w:color="bfbfbf" w:space="0" w:sz="6" w:val="single"/>
              <w:right w:color="bfbfbf" w:space="0" w:sz="6" w:val="single"/>
            </w:tcBorders>
            <w:shd w:fill="auto" w:val="clear"/>
            <w:tcMar>
              <w:top w:w="0.0" w:type="dxa"/>
              <w:left w:w="100.0" w:type="dxa"/>
              <w:bottom w:w="0.0" w:type="dxa"/>
              <w:right w:w="100.0" w:type="dxa"/>
            </w:tcMar>
            <w:vAlign w:val="center"/>
          </w:tcPr>
          <w:p w:rsidR="00000000" w:rsidDel="00000000" w:rsidP="00000000" w:rsidRDefault="00000000" w:rsidRPr="00000000" w14:paraId="0000003C">
            <w:pPr>
              <w:spacing w:after="0" w:before="0" w:lineRule="auto"/>
              <w:jc w:val="both"/>
              <w:rPr>
                <w:rFonts w:ascii="Arial" w:cs="Arial" w:eastAsia="Arial" w:hAnsi="Arial"/>
              </w:rPr>
            </w:pPr>
            <w:r w:rsidDel="00000000" w:rsidR="00000000" w:rsidRPr="00000000">
              <w:rPr>
                <w:rFonts w:ascii="Arial" w:cs="Arial" w:eastAsia="Arial" w:hAnsi="Arial"/>
                <w:rtl w:val="0"/>
              </w:rPr>
              <w:t xml:space="preserve">Oposición</w:t>
            </w:r>
          </w:p>
        </w:tc>
        <w:tc>
          <w:tcPr>
            <w:tcBorders>
              <w:top w:color="000000" w:space="0" w:sz="0" w:val="nil"/>
              <w:left w:color="000000" w:space="0" w:sz="0" w:val="nil"/>
              <w:bottom w:color="bfbfbf" w:space="0" w:sz="6" w:val="single"/>
              <w:right w:color="bfbfbf"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D">
            <w:pPr>
              <w:spacing w:after="0" w:before="0" w:lineRule="auto"/>
              <w:jc w:val="both"/>
              <w:rPr>
                <w:rFonts w:ascii="Arial" w:cs="Arial" w:eastAsia="Arial" w:hAnsi="Arial"/>
              </w:rPr>
            </w:pPr>
            <w:r w:rsidDel="00000000" w:rsidR="00000000" w:rsidRPr="00000000">
              <w:rPr>
                <w:rFonts w:ascii="Arial" w:cs="Arial" w:eastAsia="Arial" w:hAnsi="Arial"/>
                <w:rtl w:val="0"/>
              </w:rPr>
              <w:t xml:space="preserve">Manifestar las causas legítimas o la situación específica que lo llevan a solicitar el cese del tratamiento de sus datos personales</w:t>
            </w:r>
          </w:p>
        </w:tc>
      </w:tr>
    </w:tbl>
    <w:p w:rsidR="00000000" w:rsidDel="00000000" w:rsidP="00000000" w:rsidRDefault="00000000" w:rsidRPr="00000000" w14:paraId="0000003E">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F">
      <w:pPr>
        <w:ind w:left="-709" w:right="-377" w:firstLine="0"/>
        <w:jc w:val="both"/>
        <w:rPr>
          <w:rFonts w:ascii="Arial" w:cs="Arial" w:eastAsia="Arial" w:hAnsi="Arial"/>
          <w:u w:val="single"/>
        </w:rPr>
      </w:pPr>
      <w:r w:rsidDel="00000000" w:rsidR="00000000" w:rsidRPr="00000000">
        <w:rPr>
          <w:rFonts w:ascii="Arial" w:cs="Arial" w:eastAsia="Arial" w:hAnsi="Arial"/>
          <w:u w:val="single"/>
          <w:rtl w:val="0"/>
        </w:rPr>
        <w:t xml:space="preserve">Plazos establecidos dentro del procedimiento para la atención de solicitudes de derechos ARCO :</w:t>
      </w:r>
    </w:p>
    <w:p w:rsidR="00000000" w:rsidDel="00000000" w:rsidP="00000000" w:rsidRDefault="00000000" w:rsidRPr="00000000" w14:paraId="00000040">
      <w:pPr>
        <w:ind w:left="-709" w:right="-377" w:firstLine="0"/>
        <w:jc w:val="both"/>
        <w:rPr>
          <w:rFonts w:ascii="Arial" w:cs="Arial" w:eastAsia="Arial" w:hAnsi="Arial"/>
        </w:rPr>
      </w:pPr>
      <w:r w:rsidDel="00000000" w:rsidR="00000000" w:rsidRPr="00000000">
        <w:rPr>
          <w:rFonts w:ascii="Arial" w:cs="Arial" w:eastAsia="Arial" w:hAnsi="Arial"/>
          <w:rtl w:val="0"/>
        </w:rPr>
        <w:t xml:space="preserve">El plazo para dar respuesta a la solicitud de ejercicio de derechos ARCO, no podrá exceder de 20 días, contados a partir del día siguiente a la recepción de la solicitud.</w:t>
      </w:r>
    </w:p>
    <w:p w:rsidR="00000000" w:rsidDel="00000000" w:rsidP="00000000" w:rsidRDefault="00000000" w:rsidRPr="00000000" w14:paraId="00000041">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2">
      <w:pPr>
        <w:ind w:left="-709" w:right="-377" w:firstLine="0"/>
        <w:jc w:val="both"/>
        <w:rPr>
          <w:rFonts w:ascii="Arial" w:cs="Arial" w:eastAsia="Arial" w:hAnsi="Arial"/>
        </w:rPr>
      </w:pPr>
      <w:r w:rsidDel="00000000" w:rsidR="00000000" w:rsidRPr="00000000">
        <w:rPr>
          <w:rFonts w:ascii="Arial" w:cs="Arial" w:eastAsia="Arial" w:hAnsi="Arial"/>
          <w:rtl w:val="0"/>
        </w:rPr>
        <w:t xml:space="preserve">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rsidR="00000000" w:rsidDel="00000000" w:rsidP="00000000" w:rsidRDefault="00000000" w:rsidRPr="00000000" w14:paraId="00000043">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4">
      <w:pPr>
        <w:ind w:left="-709" w:right="-377" w:firstLine="0"/>
        <w:jc w:val="both"/>
        <w:rPr>
          <w:rFonts w:ascii="Arial" w:cs="Arial" w:eastAsia="Arial" w:hAnsi="Arial"/>
        </w:rPr>
      </w:pPr>
      <w:r w:rsidDel="00000000" w:rsidR="00000000" w:rsidRPr="00000000">
        <w:rPr>
          <w:rFonts w:ascii="Arial" w:cs="Arial" w:eastAsia="Arial" w:hAnsi="Arial"/>
          <w:rtl w:val="0"/>
        </w:rPr>
        <w:t xml:space="preserve">Por su parte, en caso de que la solicitud no satisfaga alguno de los requisitos previamente señalados, se le prevendrá dentro de los 5-cinco días siguientes a la presentación de su solicitud, para que subsane las omisiones dentro de un plazo de 10 días contados a partir del día siguiente al de la notificación. La prevención tendrá el efecto de interrumpir el plazo para resolver la solicitud.</w:t>
      </w:r>
    </w:p>
    <w:p w:rsidR="00000000" w:rsidDel="00000000" w:rsidP="00000000" w:rsidRDefault="00000000" w:rsidRPr="00000000" w14:paraId="00000045">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6">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7">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8">
      <w:pPr>
        <w:ind w:left="-709" w:right="-377" w:firstLine="0"/>
        <w:jc w:val="both"/>
        <w:rPr>
          <w:rFonts w:ascii="Arial" w:cs="Arial" w:eastAsia="Arial" w:hAnsi="Arial"/>
          <w:u w:val="single"/>
        </w:rPr>
      </w:pPr>
      <w:r w:rsidDel="00000000" w:rsidR="00000000" w:rsidRPr="00000000">
        <w:rPr>
          <w:rFonts w:ascii="Arial" w:cs="Arial" w:eastAsia="Arial" w:hAnsi="Arial"/>
          <w:u w:val="single"/>
          <w:rtl w:val="0"/>
        </w:rPr>
        <w:t xml:space="preserve">Medios habilitados para dar respuesta a las solicitudes:</w:t>
      </w:r>
    </w:p>
    <w:p w:rsidR="00000000" w:rsidDel="00000000" w:rsidP="00000000" w:rsidRDefault="00000000" w:rsidRPr="00000000" w14:paraId="00000049">
      <w:pPr>
        <w:ind w:left="-709" w:right="-377" w:firstLine="0"/>
        <w:jc w:val="both"/>
        <w:rPr>
          <w:rFonts w:ascii="Arial" w:cs="Arial" w:eastAsia="Arial" w:hAnsi="Arial"/>
        </w:rPr>
      </w:pPr>
      <w:r w:rsidDel="00000000" w:rsidR="00000000" w:rsidRPr="00000000">
        <w:rPr>
          <w:rFonts w:ascii="Arial" w:cs="Arial" w:eastAsia="Arial" w:hAnsi="Arial"/>
          <w:rtl w:val="0"/>
        </w:rPr>
        <w:t xml:space="preserve">Es dable señalar que los medios constituidos para dar respuesta a las solicitudes de ejercicio de derechos ARCO son la Plataforma Nacional de Transparencia y el medio señalado para tal efecto por el titular de los datos personales.</w:t>
      </w:r>
    </w:p>
    <w:p w:rsidR="00000000" w:rsidDel="00000000" w:rsidP="00000000" w:rsidRDefault="00000000" w:rsidRPr="00000000" w14:paraId="0000004A">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B">
      <w:pPr>
        <w:ind w:left="-709" w:right="-377" w:firstLine="0"/>
        <w:jc w:val="both"/>
        <w:rPr>
          <w:rFonts w:ascii="Arial" w:cs="Arial" w:eastAsia="Arial" w:hAnsi="Arial"/>
        </w:rPr>
      </w:pPr>
      <w:r w:rsidDel="00000000" w:rsidR="00000000" w:rsidRPr="00000000">
        <w:rPr>
          <w:rFonts w:ascii="Arial" w:cs="Arial" w:eastAsia="Arial" w:hAnsi="Arial"/>
          <w:rtl w:val="0"/>
        </w:rPr>
        <w:t xml:space="preserve">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  </w:t>
      </w:r>
    </w:p>
    <w:p w:rsidR="00000000" w:rsidDel="00000000" w:rsidP="00000000" w:rsidRDefault="00000000" w:rsidRPr="00000000" w14:paraId="0000004C">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D">
      <w:pPr>
        <w:ind w:left="-709" w:right="-377" w:firstLine="0"/>
        <w:jc w:val="both"/>
        <w:rPr>
          <w:rFonts w:ascii="Arial" w:cs="Arial" w:eastAsia="Arial" w:hAnsi="Arial"/>
        </w:rPr>
      </w:pPr>
      <w:r w:rsidDel="00000000" w:rsidR="00000000" w:rsidRPr="00000000">
        <w:rPr>
          <w:rFonts w:ascii="Arial" w:cs="Arial" w:eastAsia="Arial" w:hAnsi="Arial"/>
          <w:rtl w:val="0"/>
        </w:rPr>
        <w:t xml:space="preserve">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de Nuevo León en términos de lo dispuesto en el artículo 108 de la Ley de Protección de Datos Personales en Posesión de los Sujetos Obligados del Estado de Nuevo León.</w:t>
      </w:r>
    </w:p>
    <w:p w:rsidR="00000000" w:rsidDel="00000000" w:rsidP="00000000" w:rsidRDefault="00000000" w:rsidRPr="00000000" w14:paraId="0000004E">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F">
      <w:pPr>
        <w:ind w:left="-709" w:right="-377" w:firstLine="0"/>
        <w:jc w:val="both"/>
        <w:rPr>
          <w:rFonts w:ascii="Arial" w:cs="Arial" w:eastAsia="Arial" w:hAnsi="Arial"/>
        </w:rPr>
      </w:pPr>
      <w:r w:rsidDel="00000000" w:rsidR="00000000" w:rsidRPr="00000000">
        <w:rPr>
          <w:rFonts w:ascii="Arial" w:cs="Arial" w:eastAsia="Arial" w:hAnsi="Arial"/>
          <w:rtl w:val="0"/>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Arial" w:cs="Arial" w:eastAsia="Arial" w:hAnsi="Arial"/>
            <w:color w:val="1155cc"/>
            <w:u w:val="single"/>
            <w:rtl w:val="0"/>
          </w:rPr>
          <w:t xml:space="preserve">ut@infonl.mx</w:t>
        </w:r>
      </w:hyperlink>
      <w:r w:rsidDel="00000000" w:rsidR="00000000" w:rsidRPr="00000000">
        <w:rPr>
          <w:rFonts w:ascii="Arial" w:cs="Arial" w:eastAsia="Arial" w:hAnsi="Arial"/>
          <w:rtl w:val="0"/>
        </w:rPr>
        <w:t xml:space="preserve">, o bien, comunicarse al Tel: (818) 10017800.</w:t>
      </w:r>
    </w:p>
    <w:p w:rsidR="00000000" w:rsidDel="00000000" w:rsidP="00000000" w:rsidRDefault="00000000" w:rsidRPr="00000000" w14:paraId="00000050">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1">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Cambios en el aviso de privacidad:</w:t>
      </w:r>
    </w:p>
    <w:p w:rsidR="00000000" w:rsidDel="00000000" w:rsidP="00000000" w:rsidRDefault="00000000" w:rsidRPr="00000000" w14:paraId="00000052">
      <w:pPr>
        <w:ind w:left="-709" w:right="-377" w:firstLine="0"/>
        <w:jc w:val="both"/>
        <w:rPr>
          <w:rFonts w:ascii="Arial" w:cs="Arial" w:eastAsia="Arial" w:hAnsi="Arial"/>
        </w:rPr>
      </w:pPr>
      <w:r w:rsidDel="00000000" w:rsidR="00000000" w:rsidRPr="00000000">
        <w:rPr>
          <w:rFonts w:ascii="Arial" w:cs="Arial" w:eastAsia="Arial" w:hAnsi="Arial"/>
          <w:rtl w:val="0"/>
        </w:rPr>
        <w:t xml:space="preserve">En caso de que exista un cambio en el aviso de privacidad, lo haremos de su conocimiento a través de la página </w:t>
      </w:r>
      <w:hyperlink r:id="rId11">
        <w:r w:rsidDel="00000000" w:rsidR="00000000" w:rsidRPr="00000000">
          <w:rPr>
            <w:rFonts w:ascii="Arial" w:cs="Arial" w:eastAsia="Arial" w:hAnsi="Arial"/>
            <w:color w:val="1155cc"/>
            <w:u w:val="single"/>
            <w:rtl w:val="0"/>
          </w:rPr>
          <w:t xml:space="preserve">https://infonl.mx/proteccion-de-datos-personales/avisos-de-privacidad/</w:t>
        </w:r>
      </w:hyperlink>
      <w:r w:rsidDel="00000000" w:rsidR="00000000" w:rsidRPr="00000000">
        <w:rPr>
          <w:rFonts w:ascii="Arial" w:cs="Arial" w:eastAsia="Arial" w:hAnsi="Arial"/>
          <w:rtl w:val="0"/>
        </w:rPr>
        <w:t xml:space="preserve">, o bien,  de manera presencial en nuestras instalaciones.</w:t>
      </w:r>
    </w:p>
    <w:p w:rsidR="00000000" w:rsidDel="00000000" w:rsidP="00000000" w:rsidRDefault="00000000" w:rsidRPr="00000000" w14:paraId="00000053">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4">
      <w:pPr>
        <w:ind w:left="-709" w:right="-377" w:firstLine="0"/>
        <w:jc w:val="both"/>
        <w:rPr>
          <w:rFonts w:ascii="Arial" w:cs="Arial" w:eastAsia="Arial" w:hAnsi="Arial"/>
        </w:rPr>
      </w:pPr>
      <w:r w:rsidDel="00000000" w:rsidR="00000000" w:rsidRPr="00000000">
        <w:rPr>
          <w:rFonts w:ascii="Arial" w:cs="Arial" w:eastAsia="Arial" w:hAnsi="Arial"/>
          <w:rtl w:val="0"/>
        </w:rPr>
        <w:t xml:space="preserve">Le informamos que usted puede allegarse de más información sobre la protección de datos personales en la siguiente página de internet </w:t>
      </w:r>
      <w:hyperlink r:id="rId12">
        <w:r w:rsidDel="00000000" w:rsidR="00000000" w:rsidRPr="00000000">
          <w:rPr>
            <w:rFonts w:ascii="Arial" w:cs="Arial" w:eastAsia="Arial" w:hAnsi="Arial"/>
            <w:color w:val="1155cc"/>
            <w:u w:val="single"/>
            <w:rtl w:val="0"/>
          </w:rPr>
          <w:t xml:space="preserve">https://infonl.mx/proteccion-de-datos-personales/</w:t>
        </w:r>
      </w:hyperlink>
      <w:r w:rsidDel="00000000" w:rsidR="00000000" w:rsidRPr="00000000">
        <w:rPr>
          <w:rFonts w:ascii="Arial" w:cs="Arial" w:eastAsia="Arial" w:hAnsi="Arial"/>
          <w:rtl w:val="0"/>
        </w:rPr>
        <w:t xml:space="preserve">.</w:t>
      </w:r>
    </w:p>
    <w:p w:rsidR="00000000" w:rsidDel="00000000" w:rsidP="00000000" w:rsidRDefault="00000000" w:rsidRPr="00000000" w14:paraId="00000055">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6">
      <w:pPr>
        <w:ind w:left="-709" w:right="-376" w:firstLine="0"/>
        <w:jc w:val="right"/>
        <w:rPr>
          <w:rFonts w:ascii="Arial" w:cs="Arial" w:eastAsia="Arial" w:hAnsi="Arial"/>
        </w:rPr>
      </w:pPr>
      <w:r w:rsidDel="00000000" w:rsidR="00000000" w:rsidRPr="00000000">
        <w:rPr>
          <w:rtl w:val="0"/>
        </w:rPr>
      </w:r>
    </w:p>
    <w:p w:rsidR="00000000" w:rsidDel="00000000" w:rsidP="00000000" w:rsidRDefault="00000000" w:rsidRPr="00000000" w14:paraId="00000057">
      <w:pPr>
        <w:ind w:left="-709" w:right="-376" w:firstLine="0"/>
        <w:jc w:val="right"/>
        <w:rPr>
          <w:rFonts w:ascii="Arial" w:cs="Arial" w:eastAsia="Arial" w:hAnsi="Arial"/>
        </w:rPr>
      </w:pPr>
      <w:r w:rsidDel="00000000" w:rsidR="00000000" w:rsidRPr="00000000">
        <w:rPr>
          <w:rFonts w:ascii="Arial" w:cs="Arial" w:eastAsia="Arial" w:hAnsi="Arial"/>
          <w:rtl w:val="0"/>
        </w:rPr>
        <w:t xml:space="preserve">Última actualización:  Julio 2023</w:t>
      </w:r>
    </w:p>
    <w:p w:rsidR="00000000" w:rsidDel="00000000" w:rsidP="00000000" w:rsidRDefault="00000000" w:rsidRPr="00000000" w14:paraId="00000058">
      <w:pPr>
        <w:ind w:left="-709" w:right="-37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ind w:left="-709" w:right="-377" w:firstLine="0"/>
        <w:jc w:val="both"/>
        <w:rPr>
          <w:sz w:val="22"/>
          <w:szCs w:val="22"/>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18" w:top="3119" w:left="1701" w:right="1418" w:header="720" w:footer="138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-1071879</wp:posOffset>
          </wp:positionH>
          <wp:positionV relativeFrom="paragraph">
            <wp:posOffset>-450849</wp:posOffset>
          </wp:positionV>
          <wp:extent cx="7757558" cy="1003935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57558" cy="100393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00" w:line="312" w:lineRule="auto"/>
    </w:pPr>
    <w:rPr>
      <w:rFonts w:ascii="Verdana" w:cs="Verdana" w:eastAsia="Verdana" w:hAnsi="Verdana"/>
      <w:b w:val="1"/>
      <w:smallCaps w:val="1"/>
      <w:sz w:val="40"/>
      <w:szCs w:val="40"/>
    </w:rPr>
  </w:style>
  <w:style w:type="paragraph" w:styleId="Normal" w:default="1">
    <w:name w:val="Normal"/>
    <w:pPr>
      <w:suppressAutoHyphens w:val="1"/>
    </w:pPr>
    <w:rPr>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pPr>
      <w:jc w:val="both"/>
    </w:pPr>
    <w:rPr>
      <w:rFonts w:ascii="Arial" w:cs="Arial" w:hAnsi="Arial"/>
      <w:b w:val="1"/>
      <w:szCs w:val="22"/>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uiPriority w:val="34"/>
    <w:qFormat w:val="1"/>
    <w:pPr>
      <w:spacing w:after="200" w:line="276" w:lineRule="auto"/>
      <w:ind w:left="720"/>
    </w:pPr>
    <w:rPr>
      <w:rFonts w:ascii="Calibri" w:eastAsia="Calibri" w:hAnsi="Calibri"/>
      <w:sz w:val="22"/>
      <w:szCs w:val="22"/>
      <w:lang w:eastAsia="en-US"/>
    </w:rPr>
  </w:style>
  <w:style w:type="character" w:styleId="nfasis">
    <w:name w:val="Emphasis"/>
    <w:rPr>
      <w:i w:val="1"/>
      <w:iCs w:val="1"/>
    </w:rPr>
  </w:style>
  <w:style w:type="character" w:styleId="PiedepginaCar" w:customStyle="1">
    <w:name w:val="Pie de página Car"/>
    <w:rPr>
      <w:sz w:val="24"/>
      <w:szCs w:val="24"/>
      <w:lang w:eastAsia="es-ES" w:val="es-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styleId="TextocomentarioCar" w:customStyle="1">
    <w:name w:val="Texto comentario Car"/>
    <w:rPr>
      <w:lang w:eastAsia="es-ES" w:val="es-ES"/>
    </w:rPr>
  </w:style>
  <w:style w:type="paragraph" w:styleId="Asuntodelcomentario">
    <w:name w:val="annotation subject"/>
    <w:basedOn w:val="Textocomentario"/>
    <w:next w:val="Textocomentario"/>
    <w:rPr>
      <w:b w:val="1"/>
      <w:bCs w:val="1"/>
    </w:rPr>
  </w:style>
  <w:style w:type="character" w:styleId="AsuntodelcomentarioCar" w:customStyle="1">
    <w:name w:val="Asunto del comentario Car"/>
    <w:rPr>
      <w:b w:val="1"/>
      <w:bCs w:val="1"/>
      <w:lang w:eastAsia="es-ES" w:val="es-ES"/>
    </w:rPr>
  </w:style>
  <w:style w:type="paragraph" w:styleId="Textodeglobo">
    <w:name w:val="Balloon Text"/>
    <w:basedOn w:val="Normal"/>
    <w:rPr>
      <w:rFonts w:ascii="Segoe UI" w:hAnsi="Segoe UI"/>
      <w:sz w:val="18"/>
      <w:szCs w:val="18"/>
    </w:rPr>
  </w:style>
  <w:style w:type="character" w:styleId="TextodegloboCar" w:customStyle="1">
    <w:name w:val="Texto de globo Car"/>
    <w:rPr>
      <w:rFonts w:ascii="Segoe UI" w:cs="Segoe UI" w:hAnsi="Segoe UI"/>
      <w:sz w:val="18"/>
      <w:szCs w:val="18"/>
      <w:lang w:eastAsia="es-ES" w:val="es-ES"/>
    </w:rPr>
  </w:style>
  <w:style w:type="paragraph" w:styleId="NormalWeb">
    <w:name w:val="Normal (Web)"/>
    <w:basedOn w:val="Normal"/>
    <w:uiPriority w:val="99"/>
    <w:pPr>
      <w:spacing w:after="100" w:before="100"/>
    </w:pPr>
    <w:rPr>
      <w:lang w:eastAsia="es-MX" w:val="es-MX"/>
    </w:rPr>
  </w:style>
  <w:style w:type="paragraph" w:styleId="Sangra2detindependiente">
    <w:name w:val="Body Text Indent 2"/>
    <w:basedOn w:val="Normal"/>
    <w:pPr>
      <w:spacing w:after="120" w:line="480" w:lineRule="auto"/>
      <w:ind w:left="283"/>
    </w:pPr>
  </w:style>
  <w:style w:type="character" w:styleId="Sangra2detindependienteCar" w:customStyle="1">
    <w:name w:val="Sangría 2 de t. independiente Car"/>
    <w:rPr>
      <w:sz w:val="24"/>
      <w:szCs w:val="24"/>
      <w:lang w:eastAsia="es-ES" w:val="es-ES"/>
    </w:rPr>
  </w:style>
  <w:style w:type="character" w:styleId="EncabezadoCar" w:customStyle="1">
    <w:name w:val="Encabezado Car"/>
    <w:rPr>
      <w:sz w:val="24"/>
      <w:szCs w:val="24"/>
      <w:lang w:eastAsia="es-ES" w:val="es-ES"/>
    </w:rPr>
  </w:style>
  <w:style w:type="paragraph" w:styleId="texto" w:customStyle="1">
    <w:name w:val="texto"/>
    <w:basedOn w:val="Normal"/>
    <w:pPr>
      <w:overflowPunct w:val="0"/>
      <w:autoSpaceDE w:val="0"/>
      <w:spacing w:after="101" w:line="216" w:lineRule="atLeast"/>
      <w:ind w:firstLine="288"/>
      <w:jc w:val="both"/>
    </w:pPr>
    <w:rPr>
      <w:rFonts w:ascii="Arial" w:hAnsi="Arial"/>
      <w:sz w:val="18"/>
      <w:szCs w:val="20"/>
      <w:lang w:val="es-ES_tradnl"/>
    </w:rPr>
  </w:style>
  <w:style w:type="character" w:styleId="Hipervnculo">
    <w:name w:val="Hyperlink"/>
    <w:rPr>
      <w:color w:val="0000ff"/>
      <w:u w:val="single"/>
    </w:rPr>
  </w:style>
  <w:style w:type="paragraph" w:styleId="Ttulo">
    <w:name w:val="Title"/>
    <w:basedOn w:val="Normal"/>
    <w:pPr>
      <w:spacing w:before="2000" w:line="312" w:lineRule="auto"/>
    </w:pPr>
    <w:rPr>
      <w:rFonts w:ascii="Verdana" w:cs="Verdana" w:hAnsi="Verdana"/>
      <w:b w:val="1"/>
      <w:caps w:val="1"/>
      <w:sz w:val="40"/>
      <w:szCs w:val="40"/>
      <w:lang w:bidi="en-US" w:eastAsia="en-US" w:val="en-US"/>
    </w:rPr>
  </w:style>
  <w:style w:type="character" w:styleId="TtuloCar" w:customStyle="1">
    <w:name w:val="Título Car"/>
    <w:rPr>
      <w:rFonts w:ascii="Verdana" w:cs="Verdana" w:hAnsi="Verdana"/>
      <w:b w:val="1"/>
      <w:caps w:val="1"/>
      <w:sz w:val="40"/>
      <w:szCs w:val="40"/>
      <w:lang w:bidi="en-US" w:eastAsia="en-US" w:val="en-US"/>
    </w:rPr>
  </w:style>
  <w:style w:type="paragraph" w:styleId="Subttulo">
    <w:name w:val="Subtitle"/>
    <w:basedOn w:val="Normal"/>
    <w:pPr>
      <w:spacing w:line="312" w:lineRule="auto"/>
    </w:pPr>
    <w:rPr>
      <w:rFonts w:ascii="Verdana" w:cs="Verdana" w:hAnsi="Verdana"/>
      <w:i w:val="1"/>
      <w:lang w:bidi="en-US" w:eastAsia="en-US" w:val="en-US"/>
    </w:rPr>
  </w:style>
  <w:style w:type="character" w:styleId="SubttuloCar" w:customStyle="1">
    <w:name w:val="Subtítulo Car"/>
    <w:rPr>
      <w:rFonts w:ascii="Verdana" w:cs="Verdana" w:hAnsi="Verdana"/>
      <w:i w:val="1"/>
      <w:sz w:val="24"/>
      <w:szCs w:val="24"/>
      <w:lang w:bidi="en-US" w:eastAsia="en-US" w:val="en-US"/>
    </w:rPr>
  </w:style>
  <w:style w:type="character" w:styleId="PrrafodelistaCar" w:customStyle="1">
    <w:name w:val="Párrafo de lista Car"/>
    <w:uiPriority w:val="34"/>
    <w:rPr>
      <w:rFonts w:ascii="Calibri" w:eastAsia="Calibri" w:hAnsi="Calibri"/>
      <w:sz w:val="22"/>
      <w:szCs w:val="22"/>
      <w:lang w:eastAsia="en-US" w:val="es-ES"/>
    </w:rPr>
  </w:style>
  <w:style w:type="character" w:styleId="Mencinsinresolver">
    <w:name w:val="Unresolved Mention"/>
    <w:basedOn w:val="Fuentedeprrafopredeter"/>
    <w:uiPriority w:val="99"/>
    <w:semiHidden w:val="1"/>
    <w:unhideWhenUsed w:val="1"/>
    <w:rsid w:val="009D13B6"/>
    <w:rPr>
      <w:color w:val="605e5c"/>
      <w:shd w:color="auto" w:fill="e1dfdd" w:val="clear"/>
    </w:rPr>
  </w:style>
  <w:style w:type="paragraph" w:styleId="Subtitle">
    <w:name w:val="Subtitle"/>
    <w:basedOn w:val="Normal"/>
    <w:next w:val="Normal"/>
    <w:pPr>
      <w:spacing w:line="312" w:lineRule="auto"/>
    </w:pPr>
    <w:rPr>
      <w:rFonts w:ascii="Verdana" w:cs="Verdana" w:eastAsia="Verdana" w:hAnsi="Verdana"/>
      <w:i w:val="1"/>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nfonl.mx/proteccion-de-datos-personales/avisos-de-privacidad/" TargetMode="External"/><Relationship Id="rId10" Type="http://schemas.openxmlformats.org/officeDocument/2006/relationships/hyperlink" Target="mailto:ut@infonl.mx" TargetMode="External"/><Relationship Id="rId13" Type="http://schemas.openxmlformats.org/officeDocument/2006/relationships/header" Target="header1.xml"/><Relationship Id="rId12" Type="http://schemas.openxmlformats.org/officeDocument/2006/relationships/hyperlink" Target="https://infonl.mx/proteccion-de-datos-persona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taformadetransparencia.org.mx/"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policies.google.com/privacy?hl=es" TargetMode="External"/><Relationship Id="rId8" Type="http://schemas.openxmlformats.org/officeDocument/2006/relationships/hyperlink" Target="mailto:ut@infonl.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4E9X7b5xTNfF9zfn/4T7WZ15Wg==">CgMxLjAyCGguZ2pkZ3hzOAByITFlM1dSOHBNeVBpRkVHcXdRZDR3c0lSUU9iejlBUHBlag==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2022-10-21T19:43:00Z</dcterms:created>
  <dc:creator>Usuario</dc:creator>
</cp:coreProperties>
</file>