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60CF" w14:textId="77777777" w:rsidR="0080779E" w:rsidRPr="002E6ABC" w:rsidRDefault="0080779E" w:rsidP="0080779E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bookmarkStart w:id="0" w:name="_Hlk120113733"/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>
        <w:rPr>
          <w:rFonts w:ascii="Palatino Linotype" w:hAnsi="Palatino Linotype"/>
          <w:b/>
          <w:bCs/>
          <w:color w:val="000000" w:themeColor="text1"/>
          <w:sz w:val="28"/>
        </w:rPr>
        <w:t xml:space="preserve">SIMPLIFICADO, </w:t>
      </w:r>
      <w:r w:rsidRPr="00513A23">
        <w:rPr>
          <w:rFonts w:ascii="Palatino Linotype" w:hAnsi="Palatino Linotype"/>
          <w:b/>
          <w:bCs/>
          <w:color w:val="000000" w:themeColor="text1"/>
          <w:sz w:val="28"/>
        </w:rPr>
        <w:t>PROCEDIMIENTOS DE CONTRATACIÓN Y PAGO A PROVEEDORES</w:t>
      </w:r>
      <w:r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6E017E78" w14:textId="1D8CB37E" w:rsidR="00660F75" w:rsidRPr="00EA45B1" w:rsidRDefault="00660F75" w:rsidP="00660F75">
      <w:pPr>
        <w:spacing w:line="240" w:lineRule="auto"/>
        <w:jc w:val="both"/>
        <w:rPr>
          <w:rFonts w:ascii="Palatino Linotype" w:hAnsi="Palatino Linotype"/>
          <w:sz w:val="20"/>
        </w:rPr>
      </w:pPr>
      <w:r w:rsidRPr="00D22F33">
        <w:rPr>
          <w:rFonts w:ascii="Palatino Linotype" w:hAnsi="Palatino Linotype"/>
          <w:sz w:val="20"/>
        </w:rPr>
        <w:t>El Instituto Estatal de Transparencia, Acceso a la Información y Protección de Datos Personales de Nuevo León</w:t>
      </w:r>
      <w:r w:rsidRPr="00EA45B1">
        <w:rPr>
          <w:rFonts w:ascii="Palatino Linotype" w:hAnsi="Palatino Linotype"/>
          <w:sz w:val="20"/>
        </w:rPr>
        <w:t>, conocid</w:t>
      </w:r>
      <w:r w:rsidR="0092414B">
        <w:rPr>
          <w:rFonts w:ascii="Palatino Linotype" w:hAnsi="Palatino Linotype"/>
          <w:sz w:val="20"/>
        </w:rPr>
        <w:t>o</w:t>
      </w:r>
      <w:r w:rsidRPr="00EA45B1">
        <w:rPr>
          <w:rFonts w:ascii="Palatino Linotype" w:hAnsi="Palatino Linotype"/>
          <w:sz w:val="20"/>
        </w:rPr>
        <w:t xml:space="preserve"> también por sus siglas de 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, es el responsable del tratamiento de los datos personales que nos proporcione, los cuales serán protegidos conforme a lo dispuesto por la </w:t>
      </w:r>
      <w:r w:rsidRPr="001428FF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4A5DA9D2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se obtienen los datos personales.</w:t>
      </w:r>
    </w:p>
    <w:p w14:paraId="442343E9" w14:textId="77777777" w:rsidR="0080779E" w:rsidRDefault="0080779E" w:rsidP="0080779E">
      <w:pPr>
        <w:spacing w:after="0"/>
        <w:jc w:val="both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Pr="00F34A6C">
        <w:rPr>
          <w:rFonts w:ascii="Palatino Linotype" w:hAnsi="Palatino Linotype"/>
          <w:bCs/>
          <w:sz w:val="20"/>
        </w:rPr>
        <w:t>serán utilizados a fin de cumplir con las obligaciones legales de los procedimientos de contratación, suscripción de contratos y/o pedidos, así como en el procedimiento de pago a proveedores.</w:t>
      </w:r>
    </w:p>
    <w:p w14:paraId="2CB7D4E8" w14:textId="77777777" w:rsidR="00660F75" w:rsidRPr="00F359A2" w:rsidRDefault="00660F75" w:rsidP="00660F75">
      <w:pPr>
        <w:spacing w:after="0"/>
        <w:jc w:val="both"/>
        <w:rPr>
          <w:rFonts w:ascii="Palatino Linotype" w:hAnsi="Palatino Linotype"/>
          <w:b/>
          <w:bCs/>
          <w:sz w:val="20"/>
        </w:rPr>
      </w:pPr>
    </w:p>
    <w:p w14:paraId="236F8D98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0997B45F" w14:textId="64269A8B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Podrá manifestar la negativa de tratamiento de sus datos personales directamente en las instalaciones de</w:t>
      </w:r>
      <w:r w:rsidR="0092414B">
        <w:rPr>
          <w:rFonts w:ascii="Palatino Linotype" w:hAnsi="Palatino Linotype"/>
          <w:sz w:val="20"/>
        </w:rPr>
        <w:t>l</w:t>
      </w:r>
      <w:r w:rsidRPr="00EA45B1">
        <w:rPr>
          <w:rFonts w:ascii="Palatino Linotype" w:hAnsi="Palatino Linotype"/>
          <w:sz w:val="20"/>
        </w:rPr>
        <w:t xml:space="preserve"> “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>” ubicad</w:t>
      </w:r>
      <w:r w:rsidR="0092414B">
        <w:rPr>
          <w:rFonts w:ascii="Palatino Linotype" w:hAnsi="Palatino Linotype"/>
          <w:sz w:val="20"/>
        </w:rPr>
        <w:t xml:space="preserve">o </w:t>
      </w:r>
      <w:r w:rsidRPr="00EA45B1">
        <w:rPr>
          <w:rFonts w:ascii="Palatino Linotype" w:hAnsi="Palatino Linotype"/>
          <w:sz w:val="20"/>
        </w:rPr>
        <w:t xml:space="preserve">en Av. Constitución # 1465-1 Pte, zona centro del municipio de Monterrey con Código Postal 64000 o por medio electrónico en el correo </w:t>
      </w:r>
      <w:hyperlink r:id="rId7" w:history="1">
        <w:r w:rsidRPr="005A2EAB">
          <w:rPr>
            <w:rStyle w:val="Hipervnculo"/>
            <w:rFonts w:ascii="Palatino Linotype" w:hAnsi="Palatino Linotype"/>
          </w:rPr>
          <w:t>ut@infonl.mx</w:t>
        </w:r>
      </w:hyperlink>
    </w:p>
    <w:p w14:paraId="1BEF642D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49E2C6A6" w14:textId="510069BF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</w:t>
      </w:r>
      <w:r w:rsidR="00917B37">
        <w:rPr>
          <w:rFonts w:ascii="Palatino Linotype" w:hAnsi="Palatino Linotype"/>
          <w:b/>
          <w:bCs/>
        </w:rPr>
        <w:t>.</w:t>
      </w:r>
    </w:p>
    <w:p w14:paraId="1BEB9FE7" w14:textId="297B4FE6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AB4FBA0" w14:textId="008671B9" w:rsidR="000B366B" w:rsidRDefault="000B366B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40C583E0" w14:textId="169BFE13" w:rsidR="000B366B" w:rsidRDefault="000B366B" w:rsidP="00660F75">
      <w:pPr>
        <w:spacing w:after="0"/>
        <w:jc w:val="both"/>
        <w:rPr>
          <w:rFonts w:ascii="Palatino Linotype" w:hAnsi="Palatino Linotype"/>
          <w:b/>
          <w:bCs/>
          <w:szCs w:val="24"/>
        </w:rPr>
      </w:pPr>
      <w:r w:rsidRPr="000B366B">
        <w:rPr>
          <w:rFonts w:ascii="Palatino Linotype" w:hAnsi="Palatino Linotype"/>
          <w:b/>
          <w:bCs/>
          <w:szCs w:val="24"/>
        </w:rPr>
        <w:t>Aviso de privacidad integral</w:t>
      </w:r>
      <w:r>
        <w:rPr>
          <w:rFonts w:ascii="Palatino Linotype" w:hAnsi="Palatino Linotype"/>
          <w:b/>
          <w:bCs/>
          <w:szCs w:val="24"/>
        </w:rPr>
        <w:t>.</w:t>
      </w:r>
    </w:p>
    <w:p w14:paraId="796EDB97" w14:textId="17E5B1EF" w:rsidR="000B366B" w:rsidRDefault="001E324C" w:rsidP="00660F75">
      <w:pPr>
        <w:spacing w:after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Se informa que p</w:t>
      </w:r>
      <w:r w:rsidR="000B366B" w:rsidRPr="000B366B">
        <w:rPr>
          <w:rFonts w:ascii="Palatino Linotype" w:hAnsi="Palatino Linotype"/>
          <w:sz w:val="20"/>
        </w:rPr>
        <w:t xml:space="preserve">odrá consultar el aviso </w:t>
      </w:r>
      <w:r w:rsidR="00F567E1">
        <w:rPr>
          <w:rFonts w:ascii="Palatino Linotype" w:hAnsi="Palatino Linotype"/>
          <w:sz w:val="20"/>
        </w:rPr>
        <w:t xml:space="preserve">de privacidad </w:t>
      </w:r>
      <w:r w:rsidR="000B366B" w:rsidRPr="000B366B">
        <w:rPr>
          <w:rFonts w:ascii="Palatino Linotype" w:hAnsi="Palatino Linotype"/>
          <w:sz w:val="20"/>
        </w:rPr>
        <w:t>integral</w:t>
      </w:r>
      <w:r w:rsidR="0033419C">
        <w:rPr>
          <w:rFonts w:ascii="Palatino Linotype" w:hAnsi="Palatino Linotype"/>
          <w:sz w:val="20"/>
        </w:rPr>
        <w:t xml:space="preserve"> en el siguiente apartado</w:t>
      </w:r>
      <w:r w:rsidR="00917B37">
        <w:rPr>
          <w:rFonts w:ascii="Palatino Linotype" w:hAnsi="Palatino Linotype"/>
          <w:sz w:val="20"/>
        </w:rPr>
        <w:t>:</w:t>
      </w:r>
      <w:r w:rsidR="0033419C">
        <w:rPr>
          <w:rFonts w:ascii="Palatino Linotype" w:hAnsi="Palatino Linotype"/>
          <w:sz w:val="20"/>
        </w:rPr>
        <w:t xml:space="preserve">  </w:t>
      </w:r>
      <w:hyperlink r:id="rId8" w:history="1">
        <w:r w:rsidR="0033419C" w:rsidRPr="004048B7">
          <w:rPr>
            <w:rStyle w:val="Hipervnculo"/>
            <w:rFonts w:ascii="Palatino Linotype" w:hAnsi="Palatino Linotype"/>
            <w:sz w:val="20"/>
          </w:rPr>
          <w:t>https://infonl.mx/proteccion-de-datos-personales/avisos-de-privacidad/</w:t>
        </w:r>
      </w:hyperlink>
      <w:r w:rsidR="0033419C">
        <w:rPr>
          <w:rFonts w:ascii="Palatino Linotype" w:hAnsi="Palatino Linotype"/>
          <w:sz w:val="20"/>
        </w:rPr>
        <w:t xml:space="preserve">. </w:t>
      </w:r>
    </w:p>
    <w:p w14:paraId="5DBD8E29" w14:textId="77777777" w:rsidR="0033419C" w:rsidRPr="000B366B" w:rsidRDefault="0033419C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58370B8D" w14:textId="77777777" w:rsidR="00660F75" w:rsidRPr="00B227DE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15A8275" w14:textId="3803BBAF" w:rsidR="00A3078A" w:rsidRDefault="00660F75" w:rsidP="00660F75">
      <w:pPr>
        <w:spacing w:after="0"/>
        <w:jc w:val="both"/>
        <w:rPr>
          <w:rStyle w:val="Hipervnculo"/>
          <w:rFonts w:ascii="Palatino Linotype" w:hAnsi="Palatino Linotype"/>
          <w:bCs/>
          <w:sz w:val="20"/>
          <w:szCs w:val="20"/>
        </w:rPr>
      </w:pPr>
      <w:r w:rsidRPr="00D22F33">
        <w:rPr>
          <w:rFonts w:ascii="Palatino Linotype" w:hAnsi="Palatino Linotype"/>
          <w:bCs/>
          <w:sz w:val="20"/>
          <w:szCs w:val="20"/>
        </w:rPr>
        <w:t xml:space="preserve">En caso de que exista un cambio en el aviso de privacidad, nos comprometemos a mantenerlo informado sobre el mismo, ello a través del enlace </w:t>
      </w:r>
      <w:hyperlink r:id="rId9" w:history="1">
        <w:r w:rsidR="00934C66" w:rsidRPr="00934C66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="00934C66">
        <w:rPr>
          <w:rStyle w:val="Hipervnculo"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>o bien, de manera presencial en nuestras instalaciones.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D22F33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</w:t>
        </w:r>
      </w:hyperlink>
    </w:p>
    <w:p w14:paraId="3728666A" w14:textId="1A29D340" w:rsidR="0033419C" w:rsidRDefault="0033419C" w:rsidP="00660F75">
      <w:pPr>
        <w:spacing w:after="0"/>
        <w:jc w:val="both"/>
        <w:rPr>
          <w:rStyle w:val="Hipervnculo"/>
          <w:rFonts w:ascii="Palatino Linotype" w:hAnsi="Palatino Linotype"/>
          <w:bCs/>
          <w:sz w:val="20"/>
          <w:szCs w:val="20"/>
        </w:rPr>
      </w:pPr>
    </w:p>
    <w:p w14:paraId="5199F1E0" w14:textId="428E4BCE" w:rsidR="0033419C" w:rsidRPr="00B37EAE" w:rsidRDefault="0033419C" w:rsidP="00660F75">
      <w:pPr>
        <w:spacing w:after="0"/>
        <w:jc w:val="both"/>
        <w:rPr>
          <w:rStyle w:val="Hipervnculo"/>
          <w:rFonts w:ascii="Palatino Linotype" w:hAnsi="Palatino Linotype"/>
          <w:bCs/>
          <w:color w:val="auto"/>
          <w:sz w:val="20"/>
          <w:szCs w:val="20"/>
          <w:u w:val="none"/>
        </w:rPr>
      </w:pPr>
      <w:r w:rsidRPr="00B37EAE">
        <w:rPr>
          <w:rStyle w:val="Hipervnculo"/>
          <w:rFonts w:ascii="Palatino Linotype" w:hAnsi="Palatino Linotype"/>
          <w:b/>
          <w:color w:val="auto"/>
          <w:sz w:val="20"/>
          <w:szCs w:val="20"/>
          <w:u w:val="none"/>
        </w:rPr>
        <w:t>Fecha de</w:t>
      </w:r>
      <w:r w:rsidR="00B37EAE">
        <w:rPr>
          <w:rStyle w:val="Hipervnculo"/>
          <w:rFonts w:ascii="Palatino Linotype" w:hAnsi="Palatino Linotype"/>
          <w:b/>
          <w:color w:val="auto"/>
          <w:sz w:val="20"/>
          <w:szCs w:val="20"/>
          <w:u w:val="none"/>
        </w:rPr>
        <w:t xml:space="preserve"> </w:t>
      </w:r>
      <w:r w:rsidRPr="00B37EAE">
        <w:rPr>
          <w:rStyle w:val="Hipervnculo"/>
          <w:rFonts w:ascii="Palatino Linotype" w:hAnsi="Palatino Linotype"/>
          <w:b/>
          <w:color w:val="auto"/>
          <w:sz w:val="20"/>
          <w:szCs w:val="20"/>
          <w:u w:val="none"/>
        </w:rPr>
        <w:t>modificación:</w:t>
      </w:r>
      <w:r w:rsidRPr="00B37EAE">
        <w:rPr>
          <w:rStyle w:val="Hipervnculo"/>
          <w:rFonts w:ascii="Palatino Linotype" w:hAnsi="Palatino Linotype"/>
          <w:bCs/>
          <w:color w:val="auto"/>
          <w:sz w:val="20"/>
          <w:szCs w:val="20"/>
          <w:u w:val="none"/>
        </w:rPr>
        <w:t xml:space="preserve"> </w:t>
      </w:r>
      <w:r w:rsidR="00917B37">
        <w:rPr>
          <w:rStyle w:val="Hipervnculo"/>
          <w:rFonts w:ascii="Palatino Linotype" w:hAnsi="Palatino Linotype"/>
          <w:bCs/>
          <w:color w:val="auto"/>
          <w:sz w:val="20"/>
          <w:szCs w:val="20"/>
          <w:u w:val="none"/>
        </w:rPr>
        <w:t>A</w:t>
      </w:r>
      <w:r w:rsidR="000476D7">
        <w:rPr>
          <w:rStyle w:val="Hipervnculo"/>
          <w:rFonts w:ascii="Palatino Linotype" w:hAnsi="Palatino Linotype"/>
          <w:bCs/>
          <w:color w:val="auto"/>
          <w:sz w:val="20"/>
          <w:szCs w:val="20"/>
          <w:u w:val="none"/>
        </w:rPr>
        <w:t>bril de 2023</w:t>
      </w:r>
      <w:r w:rsidR="00B37EAE">
        <w:rPr>
          <w:rStyle w:val="Hipervnculo"/>
          <w:rFonts w:ascii="Palatino Linotype" w:hAnsi="Palatino Linotype"/>
          <w:bCs/>
          <w:color w:val="auto"/>
          <w:sz w:val="20"/>
          <w:szCs w:val="20"/>
          <w:u w:val="none"/>
        </w:rPr>
        <w:t>.</w:t>
      </w:r>
    </w:p>
    <w:p w14:paraId="38F3DCE4" w14:textId="77777777" w:rsidR="0092414B" w:rsidRDefault="0092414B" w:rsidP="00660F75">
      <w:pPr>
        <w:spacing w:after="0"/>
        <w:jc w:val="both"/>
        <w:rPr>
          <w:rFonts w:ascii="Palatino Linotype" w:hAnsi="Palatino Linotype"/>
          <w:bCs/>
          <w:sz w:val="20"/>
        </w:rPr>
      </w:pPr>
    </w:p>
    <w:bookmarkEnd w:id="0"/>
    <w:p w14:paraId="7EF30EDD" w14:textId="7E6EBC27" w:rsidR="009C1DAC" w:rsidRPr="00A3078A" w:rsidRDefault="009C1DAC" w:rsidP="00A3078A">
      <w:pPr>
        <w:tabs>
          <w:tab w:val="left" w:pos="6945"/>
        </w:tabs>
        <w:rPr>
          <w:rFonts w:ascii="Palatino Linotype" w:hAnsi="Palatino Linotype"/>
          <w:sz w:val="20"/>
        </w:rPr>
      </w:pPr>
    </w:p>
    <w:sectPr w:rsidR="009C1DAC" w:rsidRPr="00A3078A" w:rsidSect="00660F75">
      <w:headerReference w:type="default" r:id="rId11"/>
      <w:footerReference w:type="default" r:id="rId12"/>
      <w:pgSz w:w="12240" w:h="15840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0646" w14:textId="77777777" w:rsidR="00A15516" w:rsidRDefault="00A15516" w:rsidP="00BC2826">
      <w:pPr>
        <w:spacing w:after="0" w:line="240" w:lineRule="auto"/>
      </w:pPr>
      <w:r>
        <w:separator/>
      </w:r>
    </w:p>
  </w:endnote>
  <w:endnote w:type="continuationSeparator" w:id="0">
    <w:p w14:paraId="2C3F9AF8" w14:textId="77777777" w:rsidR="00A15516" w:rsidRDefault="00A15516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209" w14:textId="38DCEA8F" w:rsidR="002C4B91" w:rsidRDefault="002C4B9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3BBBC2" wp14:editId="7826793F">
              <wp:simplePos x="0" y="0"/>
              <wp:positionH relativeFrom="column">
                <wp:posOffset>4244340</wp:posOffset>
              </wp:positionH>
              <wp:positionV relativeFrom="paragraph">
                <wp:posOffset>-770255</wp:posOffset>
              </wp:positionV>
              <wp:extent cx="2242185" cy="7810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FBC3CD" w14:textId="77777777" w:rsidR="0080779E" w:rsidRPr="001C7EE0" w:rsidRDefault="0080779E" w:rsidP="0080779E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sz w:val="16"/>
                              <w:szCs w:val="20"/>
                            </w:rPr>
                          </w:pPr>
                          <w:r w:rsidRPr="001C7EE0">
                            <w:rPr>
                              <w:rFonts w:ascii="Palatino Linotype" w:hAnsi="Palatino Linotype"/>
                              <w:b/>
                              <w:bCs/>
                              <w:sz w:val="16"/>
                              <w:szCs w:val="20"/>
                            </w:rPr>
                            <w:t>AVISO DE PR</w:t>
                          </w:r>
                          <w:r w:rsidRPr="001C7EE0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 xml:space="preserve">IVACIDAD SIMPLIFICADO </w:t>
                          </w:r>
                          <w:r w:rsidRPr="001C7EE0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20"/>
                            </w:rPr>
                            <w:t>PROCEDIMIENTOS DE CONTRATACIÓN Y PAGO A PROVEEDORES</w:t>
                          </w:r>
                        </w:p>
                        <w:p w14:paraId="3CEB6618" w14:textId="6459616F" w:rsidR="002E6ABC" w:rsidRPr="00110BB5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633BB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2pt;margin-top:-60.65pt;width:176.55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" filled="f" stroked="f">
              <v:textbox>
                <w:txbxContent>
                  <w:p w14:paraId="53FBC3CD" w14:textId="77777777" w:rsidR="0080779E" w:rsidRPr="001C7EE0" w:rsidRDefault="0080779E" w:rsidP="0080779E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sz w:val="16"/>
                        <w:szCs w:val="20"/>
                      </w:rPr>
                    </w:pPr>
                    <w:r w:rsidRPr="001C7EE0">
                      <w:rPr>
                        <w:rFonts w:ascii="Palatino Linotype" w:hAnsi="Palatino Linotype"/>
                        <w:b/>
                        <w:bCs/>
                        <w:sz w:val="16"/>
                        <w:szCs w:val="20"/>
                      </w:rPr>
                      <w:t>AVISO DE PR</w:t>
                    </w:r>
                    <w:r w:rsidRPr="001C7EE0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 xml:space="preserve">IVACIDAD SIMPLIFICADO </w:t>
                    </w:r>
                    <w:r w:rsidRPr="001C7EE0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20"/>
                      </w:rPr>
                      <w:t>PROCEDIMIENTOS DE CONTRATACIÓN Y PAGO A PROVEEDORES</w:t>
                    </w:r>
                  </w:p>
                  <w:p w14:paraId="3CEB6618" w14:textId="6459616F" w:rsidR="002E6ABC" w:rsidRPr="00110BB5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9D8B" w14:textId="77777777" w:rsidR="00A15516" w:rsidRDefault="00A15516" w:rsidP="00BC2826">
      <w:pPr>
        <w:spacing w:after="0" w:line="240" w:lineRule="auto"/>
      </w:pPr>
      <w:r>
        <w:separator/>
      </w:r>
    </w:p>
  </w:footnote>
  <w:footnote w:type="continuationSeparator" w:id="0">
    <w:p w14:paraId="47B83A35" w14:textId="77777777" w:rsidR="00A15516" w:rsidRDefault="00A15516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3379" w14:textId="1E7977A0" w:rsidR="002E6ABC" w:rsidRDefault="00660F7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DF7C8" wp14:editId="50D98E56">
              <wp:simplePos x="0" y="0"/>
              <wp:positionH relativeFrom="column">
                <wp:posOffset>-1066800</wp:posOffset>
              </wp:positionH>
              <wp:positionV relativeFrom="paragraph">
                <wp:posOffset>-400685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7ADDE" w14:textId="0AA88F4F" w:rsidR="002C4B91" w:rsidRDefault="002C4B91" w:rsidP="002C4B91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660F7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660F7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5DEDF7C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4pt;margin-top:-31.55pt;width:206.3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" filled="f" stroked="f">
              <v:textbox>
                <w:txbxContent>
                  <w:p w14:paraId="0D47ADDE" w14:textId="0AA88F4F" w:rsidR="002C4B91" w:rsidRDefault="002C4B91" w:rsidP="002C4B91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660F7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660F7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C4B91" w:rsidRPr="00766525">
      <w:rPr>
        <w:noProof/>
        <w:lang w:eastAsia="es-MX"/>
      </w:rPr>
      <w:drawing>
        <wp:anchor distT="0" distB="0" distL="114300" distR="114300" simplePos="0" relativeHeight="251664896" behindDoc="1" locked="0" layoutInCell="1" allowOverlap="1" wp14:anchorId="08BA564A" wp14:editId="34EF097F">
          <wp:simplePos x="0" y="0"/>
          <wp:positionH relativeFrom="page">
            <wp:posOffset>15240</wp:posOffset>
          </wp:positionH>
          <wp:positionV relativeFrom="paragraph">
            <wp:posOffset>-441500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35270"/>
    <w:rsid w:val="0004042C"/>
    <w:rsid w:val="000476D7"/>
    <w:rsid w:val="000600BA"/>
    <w:rsid w:val="00062E43"/>
    <w:rsid w:val="000655C4"/>
    <w:rsid w:val="00082FCB"/>
    <w:rsid w:val="000934F5"/>
    <w:rsid w:val="00093FDA"/>
    <w:rsid w:val="00096004"/>
    <w:rsid w:val="000A5B48"/>
    <w:rsid w:val="000B366B"/>
    <w:rsid w:val="000C4B20"/>
    <w:rsid w:val="000D7A75"/>
    <w:rsid w:val="00102CEA"/>
    <w:rsid w:val="00110BB5"/>
    <w:rsid w:val="00134E54"/>
    <w:rsid w:val="00150D3D"/>
    <w:rsid w:val="00177777"/>
    <w:rsid w:val="001845EB"/>
    <w:rsid w:val="00187172"/>
    <w:rsid w:val="001A1161"/>
    <w:rsid w:val="001C74F8"/>
    <w:rsid w:val="001D6CF1"/>
    <w:rsid w:val="001E324C"/>
    <w:rsid w:val="001E5663"/>
    <w:rsid w:val="00256DAD"/>
    <w:rsid w:val="002620E0"/>
    <w:rsid w:val="00266C7E"/>
    <w:rsid w:val="002736E0"/>
    <w:rsid w:val="00274E49"/>
    <w:rsid w:val="002771B1"/>
    <w:rsid w:val="002B6637"/>
    <w:rsid w:val="002C4B91"/>
    <w:rsid w:val="002E6ABC"/>
    <w:rsid w:val="00310596"/>
    <w:rsid w:val="00326B95"/>
    <w:rsid w:val="0033419C"/>
    <w:rsid w:val="003431E4"/>
    <w:rsid w:val="00363F84"/>
    <w:rsid w:val="00371238"/>
    <w:rsid w:val="00371FD2"/>
    <w:rsid w:val="00375EAA"/>
    <w:rsid w:val="00390C7A"/>
    <w:rsid w:val="003A66DC"/>
    <w:rsid w:val="003C6FE2"/>
    <w:rsid w:val="003D0E6F"/>
    <w:rsid w:val="003E5882"/>
    <w:rsid w:val="00424272"/>
    <w:rsid w:val="00483A05"/>
    <w:rsid w:val="004978A0"/>
    <w:rsid w:val="004A00A7"/>
    <w:rsid w:val="004A7049"/>
    <w:rsid w:val="00504F6D"/>
    <w:rsid w:val="00505333"/>
    <w:rsid w:val="00507DD8"/>
    <w:rsid w:val="005216D3"/>
    <w:rsid w:val="0052273F"/>
    <w:rsid w:val="00526166"/>
    <w:rsid w:val="005600D9"/>
    <w:rsid w:val="0056308A"/>
    <w:rsid w:val="0057163B"/>
    <w:rsid w:val="005746B8"/>
    <w:rsid w:val="005B6FB8"/>
    <w:rsid w:val="005C1FE4"/>
    <w:rsid w:val="005C5F3B"/>
    <w:rsid w:val="005C7A1B"/>
    <w:rsid w:val="005E3DEC"/>
    <w:rsid w:val="005F68DD"/>
    <w:rsid w:val="00604645"/>
    <w:rsid w:val="006135FD"/>
    <w:rsid w:val="00660F75"/>
    <w:rsid w:val="006B20CD"/>
    <w:rsid w:val="006C4739"/>
    <w:rsid w:val="006E7DB4"/>
    <w:rsid w:val="00703C01"/>
    <w:rsid w:val="00714A21"/>
    <w:rsid w:val="00737DF8"/>
    <w:rsid w:val="007579DA"/>
    <w:rsid w:val="00791CC4"/>
    <w:rsid w:val="007D22CC"/>
    <w:rsid w:val="007E16B4"/>
    <w:rsid w:val="007E6548"/>
    <w:rsid w:val="007F7EF9"/>
    <w:rsid w:val="0080337F"/>
    <w:rsid w:val="0080779E"/>
    <w:rsid w:val="0081228D"/>
    <w:rsid w:val="0082113B"/>
    <w:rsid w:val="00824AAB"/>
    <w:rsid w:val="008A2FA8"/>
    <w:rsid w:val="008B1EE7"/>
    <w:rsid w:val="008D6D20"/>
    <w:rsid w:val="008E5675"/>
    <w:rsid w:val="00913E69"/>
    <w:rsid w:val="00917B37"/>
    <w:rsid w:val="0092414B"/>
    <w:rsid w:val="00925931"/>
    <w:rsid w:val="00934C66"/>
    <w:rsid w:val="009534A1"/>
    <w:rsid w:val="00962017"/>
    <w:rsid w:val="00967788"/>
    <w:rsid w:val="00967960"/>
    <w:rsid w:val="009A265D"/>
    <w:rsid w:val="009A7E57"/>
    <w:rsid w:val="009B359E"/>
    <w:rsid w:val="009B771E"/>
    <w:rsid w:val="009C1DAC"/>
    <w:rsid w:val="009D5CC0"/>
    <w:rsid w:val="00A15516"/>
    <w:rsid w:val="00A3078A"/>
    <w:rsid w:val="00A357D0"/>
    <w:rsid w:val="00A414C8"/>
    <w:rsid w:val="00A55955"/>
    <w:rsid w:val="00A93DCB"/>
    <w:rsid w:val="00AC5FB0"/>
    <w:rsid w:val="00B01B16"/>
    <w:rsid w:val="00B227DE"/>
    <w:rsid w:val="00B37EAE"/>
    <w:rsid w:val="00B44852"/>
    <w:rsid w:val="00B522F3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567E1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71D49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C4B9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6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6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2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3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nl.mx/proteccion-de-datos-personales/avisos-de-privacid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Coordinador de la unidad de compras</cp:lastModifiedBy>
  <cp:revision>6</cp:revision>
  <dcterms:created xsi:type="dcterms:W3CDTF">2023-04-28T19:49:00Z</dcterms:created>
  <dcterms:modified xsi:type="dcterms:W3CDTF">2023-04-28T21:23:00Z</dcterms:modified>
</cp:coreProperties>
</file>