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BC9E4" w14:textId="77777777" w:rsidR="00CA5F15" w:rsidRDefault="00CA5F15" w:rsidP="00CA5F15">
      <w:pPr>
        <w:tabs>
          <w:tab w:val="left" w:pos="567"/>
        </w:tabs>
        <w:ind w:right="51"/>
        <w:jc w:val="both"/>
        <w:rPr>
          <w:rFonts w:ascii="Arial" w:hAnsi="Arial" w:cs="Arial"/>
          <w:b/>
        </w:rPr>
      </w:pPr>
      <w:r>
        <w:rPr>
          <w:rFonts w:ascii="Arial" w:hAnsi="Arial" w:cs="Arial"/>
          <w:b/>
        </w:rPr>
        <w:t>PROGRAMA ANUAL DE VERIFICACIÓN Y VIGILANCIA DEL INSTITUTO ESTATAL DE TRANSPARENCIA, ACCESO A LA INFORMACIÓN Y PROTECCIÓN DE DATOS PERSONALES PARA EL AÑO 2023.</w:t>
      </w:r>
    </w:p>
    <w:p w14:paraId="580D029F" w14:textId="77777777" w:rsidR="00CA5F15" w:rsidRDefault="00CA5F15" w:rsidP="00CA5F15">
      <w:pPr>
        <w:tabs>
          <w:tab w:val="left" w:pos="567"/>
        </w:tabs>
        <w:ind w:right="51"/>
        <w:jc w:val="center"/>
        <w:rPr>
          <w:rFonts w:ascii="Arial" w:hAnsi="Arial" w:cs="Arial"/>
          <w:b/>
        </w:rPr>
      </w:pPr>
    </w:p>
    <w:p w14:paraId="062A82F4" w14:textId="77777777" w:rsidR="00CA5F15" w:rsidRDefault="00CA5F15" w:rsidP="00CA5F15">
      <w:pPr>
        <w:tabs>
          <w:tab w:val="left" w:pos="567"/>
        </w:tabs>
        <w:ind w:right="51"/>
        <w:jc w:val="center"/>
        <w:rPr>
          <w:rFonts w:ascii="Arial" w:hAnsi="Arial" w:cs="Arial"/>
          <w:b/>
        </w:rPr>
      </w:pPr>
      <w:r>
        <w:rPr>
          <w:rFonts w:ascii="Arial" w:hAnsi="Arial" w:cs="Arial"/>
          <w:b/>
        </w:rPr>
        <w:t>Consideraciones Generales</w:t>
      </w:r>
    </w:p>
    <w:p w14:paraId="27EE816A" w14:textId="77777777" w:rsidR="00CA5F15" w:rsidRDefault="00CA5F15" w:rsidP="00CA5F15">
      <w:pPr>
        <w:shd w:val="clear" w:color="auto" w:fill="FFFFFF"/>
        <w:ind w:left="1080"/>
        <w:rPr>
          <w:rFonts w:ascii="Arial" w:hAnsi="Arial" w:cs="Arial"/>
          <w:b/>
        </w:rPr>
      </w:pPr>
    </w:p>
    <w:p w14:paraId="03E790E2" w14:textId="77777777" w:rsidR="00CA5F15" w:rsidRDefault="00CA5F15" w:rsidP="00CA5F15">
      <w:pPr>
        <w:numPr>
          <w:ilvl w:val="0"/>
          <w:numId w:val="2"/>
        </w:numPr>
        <w:shd w:val="clear" w:color="auto" w:fill="FFFFFF"/>
        <w:jc w:val="center"/>
        <w:textAlignment w:val="baseline"/>
        <w:rPr>
          <w:rFonts w:ascii="Arial" w:hAnsi="Arial" w:cs="Arial"/>
          <w:b/>
        </w:rPr>
      </w:pPr>
      <w:r>
        <w:rPr>
          <w:rFonts w:ascii="Arial" w:hAnsi="Arial" w:cs="Arial"/>
          <w:b/>
        </w:rPr>
        <w:t>Del Programa Anual de Verificación y Vigilancia.</w:t>
      </w:r>
    </w:p>
    <w:p w14:paraId="65ADEB9E" w14:textId="77777777" w:rsidR="00CA5F15" w:rsidRDefault="00CA5F15" w:rsidP="00CA5F15">
      <w:pPr>
        <w:shd w:val="clear" w:color="auto" w:fill="FFFFFF"/>
        <w:ind w:firstLine="288"/>
        <w:jc w:val="both"/>
        <w:rPr>
          <w:rFonts w:ascii="Arial" w:hAnsi="Arial" w:cs="Arial"/>
          <w:b/>
        </w:rPr>
      </w:pPr>
    </w:p>
    <w:p w14:paraId="5C34EB1B" w14:textId="77777777" w:rsidR="00CA5F15" w:rsidRDefault="00CA5F15" w:rsidP="00CA5F15">
      <w:pPr>
        <w:pStyle w:val="Prrafodelista"/>
        <w:numPr>
          <w:ilvl w:val="0"/>
          <w:numId w:val="3"/>
        </w:numPr>
        <w:spacing w:after="0"/>
        <w:jc w:val="both"/>
        <w:textAlignment w:val="baseline"/>
        <w:rPr>
          <w:rFonts w:ascii="Arial" w:hAnsi="Arial" w:cs="Arial"/>
          <w:sz w:val="24"/>
          <w:szCs w:val="24"/>
        </w:rPr>
      </w:pPr>
      <w:r>
        <w:rPr>
          <w:rFonts w:ascii="Arial" w:hAnsi="Arial" w:cs="Arial"/>
          <w:sz w:val="24"/>
          <w:szCs w:val="24"/>
        </w:rPr>
        <w:t>El Programa Anual de Verificación y Vigilancia, es el documento en el que se establece el número de verificaciones a realizar al año; los periodos sujetos a verificación; los periodos en los que se llevará a cabo la verificación; la modalidad de verificación; y el medio de verificación virtual.</w:t>
      </w:r>
    </w:p>
    <w:p w14:paraId="752C5B6C" w14:textId="77777777" w:rsidR="00CA5F15" w:rsidRDefault="00CA5F15" w:rsidP="00CA5F15">
      <w:pPr>
        <w:shd w:val="clear" w:color="auto" w:fill="FFFFFF"/>
        <w:ind w:left="1080"/>
        <w:rPr>
          <w:rFonts w:ascii="Arial" w:hAnsi="Arial" w:cs="Arial"/>
          <w:b/>
        </w:rPr>
      </w:pPr>
    </w:p>
    <w:p w14:paraId="41BC3EA9" w14:textId="77777777" w:rsidR="00CA5F15" w:rsidRDefault="00CA5F15" w:rsidP="00CA5F15">
      <w:pPr>
        <w:numPr>
          <w:ilvl w:val="0"/>
          <w:numId w:val="2"/>
        </w:numPr>
        <w:shd w:val="clear" w:color="auto" w:fill="FFFFFF"/>
        <w:jc w:val="center"/>
        <w:textAlignment w:val="baseline"/>
        <w:rPr>
          <w:rFonts w:ascii="Arial" w:hAnsi="Arial" w:cs="Arial"/>
          <w:b/>
        </w:rPr>
      </w:pPr>
      <w:r>
        <w:rPr>
          <w:rFonts w:ascii="Arial" w:hAnsi="Arial" w:cs="Arial"/>
          <w:b/>
        </w:rPr>
        <w:t>Objetivos del Programa Anual 2023.</w:t>
      </w:r>
    </w:p>
    <w:p w14:paraId="6DBCC01E" w14:textId="77777777" w:rsidR="00CA5F15" w:rsidRDefault="00CA5F15" w:rsidP="00CA5F15">
      <w:pPr>
        <w:shd w:val="clear" w:color="auto" w:fill="FFFFFF"/>
        <w:jc w:val="center"/>
        <w:rPr>
          <w:rFonts w:ascii="Arial" w:hAnsi="Arial" w:cs="Arial"/>
        </w:rPr>
      </w:pPr>
    </w:p>
    <w:p w14:paraId="7D234039" w14:textId="77777777" w:rsidR="00CA5F15" w:rsidRDefault="00CA5F15" w:rsidP="00CA5F15">
      <w:pPr>
        <w:numPr>
          <w:ilvl w:val="0"/>
          <w:numId w:val="4"/>
        </w:numPr>
        <w:shd w:val="clear" w:color="auto" w:fill="FFFFFF"/>
        <w:jc w:val="both"/>
        <w:textAlignment w:val="baseline"/>
        <w:rPr>
          <w:rFonts w:ascii="Arial" w:hAnsi="Arial" w:cs="Arial"/>
        </w:rPr>
      </w:pPr>
      <w:r>
        <w:rPr>
          <w:rFonts w:ascii="Arial" w:hAnsi="Arial" w:cs="Arial"/>
        </w:rPr>
        <w:t>Establecer el tipo, alcance y número de verificaciones a realizar en el presente año;</w:t>
      </w:r>
    </w:p>
    <w:p w14:paraId="4C63B854" w14:textId="77777777" w:rsidR="00CA5F15" w:rsidRDefault="00CA5F15" w:rsidP="00CA5F15">
      <w:pPr>
        <w:numPr>
          <w:ilvl w:val="0"/>
          <w:numId w:val="4"/>
        </w:numPr>
        <w:shd w:val="clear" w:color="auto" w:fill="FFFFFF"/>
        <w:jc w:val="both"/>
        <w:textAlignment w:val="baseline"/>
        <w:rPr>
          <w:rFonts w:ascii="Arial" w:hAnsi="Arial" w:cs="Arial"/>
        </w:rPr>
      </w:pPr>
      <w:r>
        <w:rPr>
          <w:rFonts w:ascii="Arial" w:hAnsi="Arial" w:cs="Arial"/>
        </w:rPr>
        <w:t xml:space="preserve">Brindar certeza, tanto a la ciudadanía en general, como a los sujetos obligados, acerca de acciones de vigilancia realizadas por este Instituto; </w:t>
      </w:r>
    </w:p>
    <w:p w14:paraId="28A33E77" w14:textId="77777777" w:rsidR="00CA5F15" w:rsidRDefault="00CA5F15" w:rsidP="00CA5F15">
      <w:pPr>
        <w:numPr>
          <w:ilvl w:val="0"/>
          <w:numId w:val="4"/>
        </w:numPr>
        <w:shd w:val="clear" w:color="auto" w:fill="FFFFFF"/>
        <w:jc w:val="both"/>
        <w:textAlignment w:val="baseline"/>
        <w:rPr>
          <w:rFonts w:ascii="Arial" w:hAnsi="Arial" w:cs="Arial"/>
        </w:rPr>
      </w:pPr>
      <w:r>
        <w:rPr>
          <w:rFonts w:ascii="Arial" w:hAnsi="Arial" w:cs="Arial"/>
        </w:rPr>
        <w:t xml:space="preserve">Medir el grado de cumplimiento a las obligaciones de transparencia, por parte de los sujetos obligados; </w:t>
      </w:r>
    </w:p>
    <w:p w14:paraId="19A02DCE" w14:textId="77777777" w:rsidR="00CA5F15" w:rsidRDefault="00CA5F15" w:rsidP="00CA5F15">
      <w:pPr>
        <w:numPr>
          <w:ilvl w:val="0"/>
          <w:numId w:val="4"/>
        </w:numPr>
        <w:shd w:val="clear" w:color="auto" w:fill="FFFFFF"/>
        <w:jc w:val="both"/>
        <w:textAlignment w:val="baseline"/>
        <w:rPr>
          <w:rFonts w:ascii="Arial" w:hAnsi="Arial" w:cs="Arial"/>
        </w:rPr>
      </w:pPr>
      <w:r>
        <w:rPr>
          <w:rFonts w:ascii="Arial" w:hAnsi="Arial" w:cs="Arial"/>
        </w:rPr>
        <w:t>Publicar los periodos sujetos a verificación durante el ejercicio 2023.</w:t>
      </w:r>
    </w:p>
    <w:p w14:paraId="3109F1C2" w14:textId="77777777" w:rsidR="00CA5F15" w:rsidRDefault="00CA5F15" w:rsidP="00CA5F15">
      <w:pPr>
        <w:shd w:val="clear" w:color="auto" w:fill="FFFFFF"/>
        <w:jc w:val="both"/>
        <w:rPr>
          <w:rFonts w:ascii="Arial" w:hAnsi="Arial" w:cs="Arial"/>
          <w:shd w:val="clear" w:color="auto" w:fill="FFFF00"/>
        </w:rPr>
      </w:pPr>
    </w:p>
    <w:p w14:paraId="658C629C" w14:textId="77777777" w:rsidR="00CA5F15" w:rsidRDefault="00CA5F15" w:rsidP="00CA5F15">
      <w:pPr>
        <w:numPr>
          <w:ilvl w:val="0"/>
          <w:numId w:val="2"/>
        </w:numPr>
        <w:shd w:val="clear" w:color="auto" w:fill="FFFFFF"/>
        <w:jc w:val="center"/>
        <w:textAlignment w:val="baseline"/>
        <w:rPr>
          <w:rFonts w:ascii="Arial" w:hAnsi="Arial" w:cs="Arial"/>
          <w:b/>
        </w:rPr>
      </w:pPr>
      <w:r>
        <w:rPr>
          <w:rFonts w:ascii="Arial" w:hAnsi="Arial" w:cs="Arial"/>
          <w:b/>
        </w:rPr>
        <w:t>Glosario.</w:t>
      </w:r>
    </w:p>
    <w:p w14:paraId="55AFF148" w14:textId="77777777" w:rsidR="00CA5F15" w:rsidRDefault="00CA5F15" w:rsidP="00CA5F15">
      <w:pPr>
        <w:shd w:val="clear" w:color="auto" w:fill="FFFFFF"/>
        <w:ind w:left="1080"/>
        <w:rPr>
          <w:rFonts w:ascii="Arial" w:hAnsi="Arial" w:cs="Arial"/>
          <w:b/>
        </w:rPr>
      </w:pPr>
    </w:p>
    <w:p w14:paraId="59C84599" w14:textId="77777777" w:rsidR="00CA5F15" w:rsidRDefault="00CA5F15" w:rsidP="00CA5F15">
      <w:pPr>
        <w:ind w:left="360"/>
        <w:jc w:val="both"/>
        <w:rPr>
          <w:rFonts w:ascii="Arial" w:hAnsi="Arial" w:cs="Arial"/>
        </w:rPr>
      </w:pPr>
      <w:r>
        <w:rPr>
          <w:rFonts w:ascii="Arial" w:hAnsi="Arial" w:cs="Arial"/>
        </w:rPr>
        <w:t>Para efectos e interpretación del presente documento, se entenderá por:</w:t>
      </w:r>
    </w:p>
    <w:p w14:paraId="7322F4BE" w14:textId="77777777" w:rsidR="00CA5F15" w:rsidRDefault="00CA5F15" w:rsidP="00CA5F15">
      <w:pPr>
        <w:jc w:val="both"/>
        <w:rPr>
          <w:rFonts w:ascii="Arial" w:hAnsi="Arial" w:cs="Arial"/>
          <w:b/>
        </w:rPr>
      </w:pPr>
    </w:p>
    <w:p w14:paraId="1F140806" w14:textId="77777777" w:rsidR="00CA5F15" w:rsidRDefault="00CA5F15" w:rsidP="00CA5F15">
      <w:pPr>
        <w:ind w:left="360"/>
        <w:jc w:val="both"/>
      </w:pPr>
      <w:r>
        <w:rPr>
          <w:rFonts w:ascii="Arial" w:hAnsi="Arial" w:cs="Arial"/>
          <w:b/>
        </w:rPr>
        <w:t xml:space="preserve">Instituto: </w:t>
      </w:r>
      <w:r>
        <w:rPr>
          <w:rFonts w:ascii="Arial" w:hAnsi="Arial" w:cs="Arial"/>
          <w:bCs/>
        </w:rPr>
        <w:t>El</w:t>
      </w:r>
      <w:r>
        <w:rPr>
          <w:rFonts w:ascii="Arial" w:hAnsi="Arial" w:cs="Arial"/>
        </w:rPr>
        <w:t xml:space="preserve"> </w:t>
      </w:r>
      <w:r>
        <w:rPr>
          <w:rFonts w:ascii="Arial" w:hAnsi="Arial" w:cs="Arial"/>
          <w:bCs/>
        </w:rPr>
        <w:t>Instituto Estatal de Transparencia, Acceso a la Información y Protección de Datos Personales</w:t>
      </w:r>
      <w:r>
        <w:rPr>
          <w:rFonts w:ascii="Arial" w:hAnsi="Arial" w:cs="Arial"/>
        </w:rPr>
        <w:t>;</w:t>
      </w:r>
    </w:p>
    <w:p w14:paraId="5E849057" w14:textId="77777777" w:rsidR="00CA5F15" w:rsidRDefault="00CA5F15" w:rsidP="00CA5F15">
      <w:pPr>
        <w:jc w:val="both"/>
        <w:rPr>
          <w:rFonts w:ascii="Arial" w:hAnsi="Arial" w:cs="Arial"/>
        </w:rPr>
      </w:pPr>
    </w:p>
    <w:p w14:paraId="1EA2425C" w14:textId="77777777" w:rsidR="00CA5F15" w:rsidRDefault="00CA5F15" w:rsidP="00CA5F15">
      <w:pPr>
        <w:ind w:left="360"/>
        <w:jc w:val="both"/>
      </w:pPr>
      <w:r>
        <w:rPr>
          <w:rFonts w:ascii="Arial" w:hAnsi="Arial" w:cs="Arial"/>
          <w:b/>
        </w:rPr>
        <w:t xml:space="preserve">Ley Local: </w:t>
      </w:r>
      <w:r>
        <w:rPr>
          <w:rFonts w:ascii="Arial" w:hAnsi="Arial" w:cs="Arial"/>
        </w:rPr>
        <w:t>Ley de Transparencia y Acceso a la Información Pública del Estado de Nuevo León;</w:t>
      </w:r>
    </w:p>
    <w:p w14:paraId="51D87459" w14:textId="77777777" w:rsidR="00CA5F15" w:rsidRDefault="00CA5F15" w:rsidP="00CA5F15">
      <w:pPr>
        <w:ind w:left="360"/>
        <w:jc w:val="both"/>
        <w:rPr>
          <w:rFonts w:ascii="Arial" w:hAnsi="Arial" w:cs="Arial"/>
        </w:rPr>
      </w:pPr>
    </w:p>
    <w:p w14:paraId="77F46B9F" w14:textId="77777777" w:rsidR="00CA5F15" w:rsidRDefault="00CA5F15" w:rsidP="00CA5F15">
      <w:pPr>
        <w:ind w:left="360"/>
        <w:jc w:val="both"/>
      </w:pPr>
      <w:r>
        <w:rPr>
          <w:rFonts w:ascii="Arial" w:hAnsi="Arial" w:cs="Arial"/>
          <w:b/>
        </w:rPr>
        <w:t xml:space="preserve">Lineamientos de Verificación. </w:t>
      </w:r>
      <w:r>
        <w:rPr>
          <w:rFonts w:ascii="Arial" w:hAnsi="Arial" w:cs="Arial"/>
        </w:rPr>
        <w:t xml:space="preserve">Los </w:t>
      </w:r>
      <w:r>
        <w:rPr>
          <w:rFonts w:ascii="Arial" w:hAnsi="Arial" w:cs="Arial"/>
          <w:iCs/>
        </w:rPr>
        <w:t>Lineamientos que establecen el procedimiento de verificación y seguimiento del cumplimiento de las obligaciones de transparencia que deben de publicar los sujetos obligados del Estado en los portales de Internet y en la Plataforma Nacional de Transparencia;</w:t>
      </w:r>
    </w:p>
    <w:p w14:paraId="76D1A52D" w14:textId="77777777" w:rsidR="00CA5F15" w:rsidRDefault="00CA5F15" w:rsidP="00CA5F15">
      <w:pPr>
        <w:ind w:left="360"/>
        <w:jc w:val="both"/>
        <w:rPr>
          <w:rFonts w:ascii="Arial" w:hAnsi="Arial" w:cs="Arial"/>
        </w:rPr>
      </w:pPr>
    </w:p>
    <w:p w14:paraId="63BA9745" w14:textId="77777777" w:rsidR="00CA5F15" w:rsidRDefault="00CA5F15" w:rsidP="00CA5F15">
      <w:pPr>
        <w:ind w:left="360"/>
        <w:jc w:val="both"/>
      </w:pPr>
      <w:r>
        <w:rPr>
          <w:rFonts w:ascii="Arial" w:hAnsi="Arial" w:cs="Arial"/>
          <w:b/>
        </w:rPr>
        <w:t>Lineamientos Técnicos Estatales (LTE):</w:t>
      </w:r>
      <w:r>
        <w:rPr>
          <w:rFonts w:ascii="Arial" w:hAnsi="Arial" w:cs="Arial"/>
        </w:rPr>
        <w:t xml:space="preserve"> Los Lineamientos técnicos para la publicación, homologación y estandarización de la información de las obligaciones establecidas en el Título Quinto de la Ley de Transparencia y Acceso a la Información Pública del Estado de Nuevo León, que deben de difundir los sujetos obligados del Estado de Nuevo León en los portales de internet y en la Plataforma Nacional de Transparencia</w:t>
      </w:r>
      <w:r>
        <w:rPr>
          <w:rFonts w:ascii="Arial" w:hAnsi="Arial" w:cs="Arial"/>
          <w:i/>
        </w:rPr>
        <w:t xml:space="preserve">. </w:t>
      </w:r>
      <w:r>
        <w:rPr>
          <w:rFonts w:ascii="Arial" w:hAnsi="Arial" w:cs="Arial"/>
          <w:i/>
        </w:rPr>
        <w:br/>
      </w:r>
    </w:p>
    <w:p w14:paraId="084A2FE0" w14:textId="77777777" w:rsidR="00CA5F15" w:rsidRDefault="00CA5F15" w:rsidP="00CA5F15">
      <w:pPr>
        <w:ind w:left="360"/>
        <w:jc w:val="both"/>
      </w:pPr>
      <w:r>
        <w:rPr>
          <w:rFonts w:ascii="Arial" w:hAnsi="Arial" w:cs="Arial"/>
          <w:b/>
        </w:rPr>
        <w:t>Obligaciones comunes:</w:t>
      </w:r>
      <w:r>
        <w:rPr>
          <w:rFonts w:ascii="Arial" w:hAnsi="Arial" w:cs="Arial"/>
        </w:rPr>
        <w:t xml:space="preserve"> Son las establecidas en las fracciones I a LIV y último párrafo del artículo 95 de la Ley Local;</w:t>
      </w:r>
    </w:p>
    <w:p w14:paraId="211B56E1" w14:textId="77777777" w:rsidR="00CA5F15" w:rsidRDefault="00CA5F15" w:rsidP="00CA5F15">
      <w:pPr>
        <w:ind w:left="360"/>
        <w:jc w:val="both"/>
        <w:rPr>
          <w:rFonts w:ascii="Arial" w:hAnsi="Arial" w:cs="Arial"/>
          <w:b/>
        </w:rPr>
      </w:pPr>
    </w:p>
    <w:p w14:paraId="30E0B98D" w14:textId="77777777" w:rsidR="00CA5F15" w:rsidRDefault="00CA5F15" w:rsidP="00CA5F15">
      <w:pPr>
        <w:ind w:left="360"/>
        <w:jc w:val="both"/>
      </w:pPr>
      <w:r>
        <w:rPr>
          <w:rFonts w:ascii="Arial" w:hAnsi="Arial" w:cs="Arial"/>
          <w:b/>
        </w:rPr>
        <w:t>Obligaciones específicas:</w:t>
      </w:r>
      <w:r>
        <w:rPr>
          <w:rFonts w:ascii="Arial" w:hAnsi="Arial" w:cs="Arial"/>
        </w:rPr>
        <w:t xml:space="preserve"> Constituyen la información que generan sólo determinados sujetos obligados a partir de su figura legal, atribuciones, facultades y/o su objeto; establecidas en los artículos 96 a 108 de la Ley Local; </w:t>
      </w:r>
    </w:p>
    <w:p w14:paraId="383B1876" w14:textId="77777777" w:rsidR="00CA5F15" w:rsidRDefault="00CA5F15" w:rsidP="00CA5F15">
      <w:pPr>
        <w:ind w:left="360"/>
        <w:jc w:val="both"/>
        <w:rPr>
          <w:rFonts w:ascii="Arial" w:hAnsi="Arial" w:cs="Arial"/>
          <w:b/>
        </w:rPr>
      </w:pPr>
    </w:p>
    <w:p w14:paraId="4E263039" w14:textId="77777777" w:rsidR="00CA5F15" w:rsidRDefault="00CA5F15" w:rsidP="00CA5F15">
      <w:pPr>
        <w:ind w:left="360"/>
        <w:jc w:val="both"/>
      </w:pPr>
      <w:r>
        <w:rPr>
          <w:rFonts w:ascii="Arial" w:hAnsi="Arial" w:cs="Arial"/>
          <w:b/>
        </w:rPr>
        <w:t>Obligaciones de transparencia</w:t>
      </w:r>
      <w:r>
        <w:rPr>
          <w:rFonts w:ascii="Arial" w:hAnsi="Arial" w:cs="Arial"/>
        </w:rPr>
        <w:t xml:space="preserve">: El catálogo de información previsto en los artículos 95 a 108 de la Ley Local;  </w:t>
      </w:r>
    </w:p>
    <w:p w14:paraId="2A14CDE1" w14:textId="77777777" w:rsidR="00CA5F15" w:rsidRDefault="00CA5F15" w:rsidP="00CA5F15">
      <w:pPr>
        <w:ind w:left="360"/>
        <w:jc w:val="both"/>
        <w:rPr>
          <w:rFonts w:ascii="Arial" w:hAnsi="Arial" w:cs="Arial"/>
          <w:b/>
        </w:rPr>
      </w:pPr>
    </w:p>
    <w:p w14:paraId="7B2AFC0A" w14:textId="77777777" w:rsidR="00CA5F15" w:rsidRDefault="00CA5F15" w:rsidP="00CA5F15">
      <w:pPr>
        <w:ind w:left="360"/>
        <w:jc w:val="both"/>
      </w:pPr>
      <w:r>
        <w:rPr>
          <w:rFonts w:ascii="Arial" w:hAnsi="Arial" w:cs="Arial"/>
          <w:b/>
        </w:rPr>
        <w:t xml:space="preserve">Padrón: </w:t>
      </w:r>
      <w:r>
        <w:rPr>
          <w:rFonts w:ascii="Arial" w:hAnsi="Arial" w:cs="Arial"/>
        </w:rPr>
        <w:t>Es el Padrón de Sujetos Obligados del Estado vigente, aprobado por la Secretaría Ejecutiva del Instituto;</w:t>
      </w:r>
    </w:p>
    <w:p w14:paraId="3B13FA87" w14:textId="77777777" w:rsidR="00CA5F15" w:rsidRDefault="00CA5F15" w:rsidP="00CA5F15">
      <w:pPr>
        <w:ind w:left="360"/>
        <w:jc w:val="both"/>
        <w:rPr>
          <w:rFonts w:ascii="Arial" w:hAnsi="Arial" w:cs="Arial"/>
        </w:rPr>
      </w:pPr>
    </w:p>
    <w:p w14:paraId="087EE04B" w14:textId="77777777" w:rsidR="00CA5F15" w:rsidRDefault="00CA5F15" w:rsidP="00CA5F15">
      <w:pPr>
        <w:ind w:left="360"/>
        <w:jc w:val="both"/>
      </w:pPr>
      <w:r>
        <w:rPr>
          <w:rFonts w:ascii="Arial" w:hAnsi="Arial" w:cs="Arial"/>
          <w:b/>
        </w:rPr>
        <w:t>Plataforma Nacional (PNT):</w:t>
      </w:r>
      <w:r>
        <w:rPr>
          <w:rFonts w:ascii="Arial" w:hAnsi="Arial" w:cs="Arial"/>
        </w:rPr>
        <w:t xml:space="preserve"> La Plataforma Nacional de Transparencia a la que hace referencia el artículo 3, fracción XLIV, de la Ley Local;</w:t>
      </w:r>
    </w:p>
    <w:p w14:paraId="066F4928" w14:textId="77777777" w:rsidR="00CA5F15" w:rsidRDefault="00CA5F15" w:rsidP="00CA5F15">
      <w:pPr>
        <w:ind w:left="360"/>
        <w:jc w:val="both"/>
        <w:rPr>
          <w:rFonts w:ascii="Arial" w:hAnsi="Arial" w:cs="Arial"/>
          <w:b/>
        </w:rPr>
      </w:pPr>
    </w:p>
    <w:p w14:paraId="765647F0" w14:textId="77777777" w:rsidR="00CA5F15" w:rsidRDefault="00CA5F15" w:rsidP="00CA5F15">
      <w:pPr>
        <w:ind w:left="360"/>
        <w:jc w:val="both"/>
      </w:pPr>
      <w:r>
        <w:rPr>
          <w:rFonts w:ascii="Arial" w:hAnsi="Arial" w:cs="Arial"/>
          <w:b/>
        </w:rPr>
        <w:t xml:space="preserve">Programa Anual 2023: </w:t>
      </w:r>
      <w:r>
        <w:rPr>
          <w:rFonts w:ascii="Arial" w:hAnsi="Arial" w:cs="Arial"/>
        </w:rPr>
        <w:t>El Programa Anual de Verificación y Vigilancia de las obligaciones de transparencia que deben atender los sujetos obligados del Estado que se encuentren dentro del padrón, mediante el cual se especificará número, tipo de verificación y periodos para realizar el levantamiento y análisis de la información;</w:t>
      </w:r>
    </w:p>
    <w:p w14:paraId="6712BC2B" w14:textId="77777777" w:rsidR="00CA5F15" w:rsidRDefault="00CA5F15" w:rsidP="00CA5F15">
      <w:pPr>
        <w:ind w:left="360"/>
        <w:jc w:val="both"/>
      </w:pPr>
    </w:p>
    <w:p w14:paraId="54C9B2BC" w14:textId="77777777" w:rsidR="00CA5F15" w:rsidRDefault="00CA5F15" w:rsidP="00CA5F15">
      <w:pPr>
        <w:ind w:left="360"/>
        <w:jc w:val="both"/>
      </w:pPr>
      <w:r>
        <w:rPr>
          <w:rFonts w:ascii="Arial" w:hAnsi="Arial" w:cs="Arial"/>
          <w:b/>
          <w:bCs/>
        </w:rPr>
        <w:t xml:space="preserve">SIPOT: </w:t>
      </w:r>
      <w:r>
        <w:rPr>
          <w:rFonts w:ascii="Arial" w:hAnsi="Arial" w:cs="Arial"/>
        </w:rPr>
        <w:t>Sistema de Portales de Obligaciones de Transparencia</w:t>
      </w:r>
    </w:p>
    <w:p w14:paraId="58DAAC77" w14:textId="77777777" w:rsidR="00CA5F15" w:rsidRDefault="00CA5F15" w:rsidP="00CA5F15">
      <w:pPr>
        <w:ind w:left="360"/>
        <w:jc w:val="both"/>
        <w:rPr>
          <w:rFonts w:ascii="Arial" w:hAnsi="Arial" w:cs="Arial"/>
          <w:b/>
          <w:i/>
        </w:rPr>
      </w:pPr>
    </w:p>
    <w:p w14:paraId="581726B9" w14:textId="77777777" w:rsidR="00CA5F15" w:rsidRDefault="00CA5F15" w:rsidP="00CA5F15">
      <w:pPr>
        <w:ind w:left="360"/>
        <w:jc w:val="both"/>
      </w:pPr>
      <w:r>
        <w:rPr>
          <w:rFonts w:ascii="Arial" w:hAnsi="Arial" w:cs="Arial"/>
          <w:b/>
        </w:rPr>
        <w:t xml:space="preserve">Subdirección: </w:t>
      </w:r>
      <w:r>
        <w:rPr>
          <w:rFonts w:ascii="Arial" w:hAnsi="Arial" w:cs="Arial"/>
        </w:rPr>
        <w:t>La Subdirección de Verificación de Obligaciones de Transparencia del Instituto;</w:t>
      </w:r>
    </w:p>
    <w:p w14:paraId="0B356AB7" w14:textId="77777777" w:rsidR="00CA5F15" w:rsidRDefault="00CA5F15" w:rsidP="00CA5F15">
      <w:pPr>
        <w:ind w:left="360"/>
        <w:jc w:val="both"/>
        <w:rPr>
          <w:rFonts w:ascii="Arial" w:hAnsi="Arial" w:cs="Arial"/>
          <w:b/>
        </w:rPr>
      </w:pPr>
    </w:p>
    <w:p w14:paraId="1B4BAA5A" w14:textId="77777777" w:rsidR="00CA5F15" w:rsidRDefault="00CA5F15" w:rsidP="00CA5F15">
      <w:pPr>
        <w:ind w:left="360"/>
        <w:jc w:val="both"/>
      </w:pPr>
      <w:r>
        <w:rPr>
          <w:rFonts w:ascii="Arial" w:hAnsi="Arial" w:cs="Arial"/>
          <w:b/>
        </w:rPr>
        <w:t xml:space="preserve">Tablas de aplicabilidad: </w:t>
      </w:r>
      <w:r>
        <w:rPr>
          <w:rFonts w:ascii="Arial" w:hAnsi="Arial" w:cs="Arial"/>
        </w:rPr>
        <w:t xml:space="preserve">Documento donde se asientan las obligaciones de cada sujeto obligado, de acuerdo con su naturaleza; es decir, la relación de las obligaciones de transparencia que son aplicables y no aplicables a cada sujeto obligado, en términos de lo establecido en los artículos 95 a 108 de la Ley; </w:t>
      </w:r>
    </w:p>
    <w:p w14:paraId="40D2F731" w14:textId="77777777" w:rsidR="00CA5F15" w:rsidRDefault="00CA5F15" w:rsidP="00CA5F15">
      <w:pPr>
        <w:ind w:left="360"/>
        <w:jc w:val="both"/>
        <w:rPr>
          <w:rFonts w:ascii="Arial" w:hAnsi="Arial" w:cs="Arial"/>
          <w:b/>
        </w:rPr>
      </w:pPr>
    </w:p>
    <w:p w14:paraId="7861EAFD" w14:textId="77777777" w:rsidR="00CA5F15" w:rsidRDefault="00CA5F15" w:rsidP="00CA5F15">
      <w:pPr>
        <w:ind w:left="360"/>
        <w:jc w:val="both"/>
      </w:pPr>
      <w:r>
        <w:rPr>
          <w:rFonts w:ascii="Arial" w:hAnsi="Arial" w:cs="Arial"/>
          <w:b/>
        </w:rPr>
        <w:t xml:space="preserve">Verificación: </w:t>
      </w:r>
      <w:r>
        <w:rPr>
          <w:rFonts w:ascii="Arial" w:hAnsi="Arial" w:cs="Arial"/>
        </w:rPr>
        <w:t>Mecanismo a través del cual el Instituto evaluará el nivel del cumplimiento de las obligaciones de transparencia de los sujetos obligados del Estado;</w:t>
      </w:r>
    </w:p>
    <w:p w14:paraId="5F80E418" w14:textId="77777777" w:rsidR="00CA5F15" w:rsidRDefault="00CA5F15" w:rsidP="00CA5F15">
      <w:pPr>
        <w:ind w:left="360"/>
        <w:jc w:val="both"/>
        <w:rPr>
          <w:rFonts w:ascii="Arial" w:hAnsi="Arial" w:cs="Arial"/>
        </w:rPr>
      </w:pPr>
    </w:p>
    <w:p w14:paraId="6EBB540B" w14:textId="77777777" w:rsidR="00CA5F15" w:rsidRDefault="00CA5F15" w:rsidP="00CA5F15">
      <w:pPr>
        <w:ind w:left="360"/>
        <w:jc w:val="both"/>
      </w:pPr>
      <w:r>
        <w:rPr>
          <w:rFonts w:ascii="Arial" w:hAnsi="Arial" w:cs="Arial"/>
          <w:b/>
        </w:rPr>
        <w:t>Verificación periódica</w:t>
      </w:r>
      <w:r>
        <w:rPr>
          <w:rFonts w:ascii="Arial" w:hAnsi="Arial" w:cs="Arial"/>
        </w:rPr>
        <w:t>: Modalidad de verificación, que se realiza a la totalidad de los sujetos obligados registrados en el Padrón; y</w:t>
      </w:r>
    </w:p>
    <w:p w14:paraId="23941658" w14:textId="77777777" w:rsidR="00CA5F15" w:rsidRDefault="00CA5F15" w:rsidP="00CA5F15">
      <w:pPr>
        <w:ind w:left="360"/>
        <w:jc w:val="both"/>
        <w:rPr>
          <w:rFonts w:ascii="Arial" w:hAnsi="Arial" w:cs="Arial"/>
        </w:rPr>
      </w:pPr>
    </w:p>
    <w:p w14:paraId="0329FAA0" w14:textId="77777777" w:rsidR="00CA5F15" w:rsidRDefault="00CA5F15" w:rsidP="00CA5F15">
      <w:pPr>
        <w:ind w:left="360"/>
        <w:jc w:val="both"/>
      </w:pPr>
      <w:r>
        <w:rPr>
          <w:rFonts w:ascii="Arial" w:hAnsi="Arial" w:cs="Arial"/>
          <w:b/>
        </w:rPr>
        <w:t>Verificación muestral:</w:t>
      </w:r>
      <w:r>
        <w:rPr>
          <w:rFonts w:ascii="Arial" w:hAnsi="Arial" w:cs="Arial"/>
        </w:rPr>
        <w:t xml:space="preserve"> Modalidad de verificación, que se realiza seleccionando una muestra aleatoria por estratos de acuerdo al tipo de institución, garantizando una representatividad de cuando menos un ochenta y cinco por ciento y un margen de error relativo máximo del diez por ciento. Estas especificaciones asumen el Teorema Central del Límite, el cual afirma que, para un gran número de variables, si aplicamos una medida de tendencia central, como la media, no importa la distribución de probabilidad que tenga la variable de origen, ésta se distribuye como una normal.</w:t>
      </w:r>
    </w:p>
    <w:p w14:paraId="7C8078A1" w14:textId="77777777" w:rsidR="00CA5F15" w:rsidRDefault="00CA5F15" w:rsidP="00CA5F15">
      <w:pPr>
        <w:jc w:val="both"/>
        <w:rPr>
          <w:rFonts w:ascii="Arial" w:hAnsi="Arial" w:cs="Arial"/>
        </w:rPr>
      </w:pPr>
    </w:p>
    <w:p w14:paraId="67A0B4A5" w14:textId="77777777" w:rsidR="00CA5F15" w:rsidRDefault="00CA5F15" w:rsidP="00CA5F15">
      <w:pPr>
        <w:numPr>
          <w:ilvl w:val="0"/>
          <w:numId w:val="2"/>
        </w:numPr>
        <w:shd w:val="clear" w:color="auto" w:fill="FFFFFF"/>
        <w:jc w:val="center"/>
        <w:textAlignment w:val="baseline"/>
        <w:rPr>
          <w:rFonts w:ascii="Arial" w:hAnsi="Arial" w:cs="Arial"/>
          <w:b/>
        </w:rPr>
      </w:pPr>
      <w:r>
        <w:rPr>
          <w:rFonts w:ascii="Arial" w:hAnsi="Arial" w:cs="Arial"/>
          <w:b/>
        </w:rPr>
        <w:t>De las Verificaciones.</w:t>
      </w:r>
    </w:p>
    <w:p w14:paraId="1B3F0DF6" w14:textId="77777777" w:rsidR="00CA5F15" w:rsidRDefault="00CA5F15" w:rsidP="00CA5F15">
      <w:pPr>
        <w:jc w:val="both"/>
        <w:rPr>
          <w:rFonts w:ascii="Arial" w:hAnsi="Arial" w:cs="Arial"/>
        </w:rPr>
      </w:pPr>
    </w:p>
    <w:p w14:paraId="5D075F0C" w14:textId="77777777" w:rsidR="00CA5F15" w:rsidRDefault="00CA5F15" w:rsidP="00CA5F15">
      <w:pPr>
        <w:ind w:left="360"/>
        <w:jc w:val="both"/>
        <w:rPr>
          <w:rFonts w:ascii="Arial" w:hAnsi="Arial" w:cs="Arial"/>
        </w:rPr>
      </w:pPr>
      <w:r>
        <w:rPr>
          <w:rFonts w:ascii="Arial" w:hAnsi="Arial" w:cs="Arial"/>
        </w:rPr>
        <w:t xml:space="preserve">Las acciones de verificación del cumplimiento de las obligaciones de transparencia establecidas en el Título Quinto de la Ley Local, se realizarán a través de la verificación virtual, en los términos establecidos en el artículo 110 de la mencionada Ley. </w:t>
      </w:r>
    </w:p>
    <w:p w14:paraId="7ED6308A" w14:textId="77777777" w:rsidR="00CA5F15" w:rsidRDefault="00CA5F15" w:rsidP="00CA5F15">
      <w:pPr>
        <w:ind w:left="360"/>
        <w:jc w:val="both"/>
        <w:rPr>
          <w:rFonts w:ascii="Arial" w:hAnsi="Arial" w:cs="Arial"/>
        </w:rPr>
      </w:pPr>
    </w:p>
    <w:p w14:paraId="7A110E86" w14:textId="77777777" w:rsidR="00CA5F15" w:rsidRDefault="00CA5F15" w:rsidP="00CA5F15">
      <w:pPr>
        <w:ind w:left="360"/>
        <w:jc w:val="both"/>
        <w:rPr>
          <w:rFonts w:ascii="Arial" w:hAnsi="Arial" w:cs="Arial"/>
        </w:rPr>
      </w:pPr>
      <w:r>
        <w:rPr>
          <w:rFonts w:ascii="Arial" w:hAnsi="Arial" w:cs="Arial"/>
        </w:rPr>
        <w:t>Para el presente ejercicio, las verificaciones se llevarán de la siguiente manera:</w:t>
      </w:r>
    </w:p>
    <w:p w14:paraId="7B671633" w14:textId="77777777" w:rsidR="00CA5F15" w:rsidRDefault="00CA5F15" w:rsidP="00CA5F15">
      <w:pPr>
        <w:ind w:left="360"/>
        <w:jc w:val="both"/>
        <w:rPr>
          <w:rFonts w:ascii="Arial" w:hAnsi="Arial" w:cs="Arial"/>
        </w:rPr>
      </w:pPr>
    </w:p>
    <w:p w14:paraId="3CCB958B" w14:textId="77777777" w:rsidR="00CA5F15" w:rsidRDefault="00CA5F15" w:rsidP="00CA5F15">
      <w:pPr>
        <w:numPr>
          <w:ilvl w:val="0"/>
          <w:numId w:val="5"/>
        </w:numPr>
        <w:jc w:val="both"/>
        <w:textAlignment w:val="baseline"/>
        <w:rPr>
          <w:rFonts w:ascii="Arial" w:hAnsi="Arial" w:cs="Arial"/>
          <w:b/>
        </w:rPr>
      </w:pPr>
      <w:r>
        <w:rPr>
          <w:rFonts w:ascii="Arial" w:hAnsi="Arial" w:cs="Arial"/>
          <w:b/>
        </w:rPr>
        <w:t>El número de verificaciones a realizar en el año.</w:t>
      </w:r>
    </w:p>
    <w:p w14:paraId="6934C871" w14:textId="77777777" w:rsidR="00CA5F15" w:rsidRDefault="00CA5F15" w:rsidP="00CA5F15">
      <w:pPr>
        <w:jc w:val="both"/>
        <w:rPr>
          <w:rFonts w:ascii="Arial" w:hAnsi="Arial" w:cs="Arial"/>
          <w:b/>
        </w:rPr>
      </w:pPr>
    </w:p>
    <w:p w14:paraId="28FA73D0" w14:textId="77777777" w:rsidR="00CA5F15" w:rsidRDefault="00CA5F15" w:rsidP="00CA5F15">
      <w:pPr>
        <w:ind w:left="426"/>
        <w:jc w:val="both"/>
        <w:rPr>
          <w:rFonts w:ascii="Arial" w:hAnsi="Arial" w:cs="Arial"/>
        </w:rPr>
      </w:pPr>
      <w:r>
        <w:rPr>
          <w:rFonts w:ascii="Arial" w:hAnsi="Arial" w:cs="Arial"/>
        </w:rPr>
        <w:t>En atención a que las verificaciones realizadas por este órgano garante se llevan a cabo de manera trimestral, así como los 30 días naturales con que cuenta cada sujeto obligado para cargar su información en los diferentes medios electrónicos, se procederá a efectuar un total de 04 verificaciones, siendo estas divididas de la siguiente manera: 03 verificaciones en el año 2023 y 01 verificación en el año 2024, lo anterior a efecto de que la revisión comprenda los cuatro trimestres del ejercicio 2023.</w:t>
      </w:r>
    </w:p>
    <w:p w14:paraId="2B39C775" w14:textId="77777777" w:rsidR="00CA5F15" w:rsidRDefault="00CA5F15" w:rsidP="00CA5F15">
      <w:pPr>
        <w:ind w:left="1080"/>
        <w:jc w:val="both"/>
        <w:rPr>
          <w:rFonts w:ascii="Arial" w:hAnsi="Arial" w:cs="Arial"/>
          <w:b/>
        </w:rPr>
      </w:pPr>
    </w:p>
    <w:p w14:paraId="62A5A5A0" w14:textId="77777777" w:rsidR="00CA5F15" w:rsidRDefault="00CA5F15" w:rsidP="00CA5F15">
      <w:pPr>
        <w:numPr>
          <w:ilvl w:val="0"/>
          <w:numId w:val="5"/>
        </w:numPr>
        <w:jc w:val="both"/>
        <w:textAlignment w:val="baseline"/>
        <w:rPr>
          <w:rFonts w:ascii="Arial" w:hAnsi="Arial" w:cs="Arial"/>
          <w:b/>
        </w:rPr>
      </w:pPr>
      <w:r>
        <w:rPr>
          <w:rFonts w:ascii="Arial" w:hAnsi="Arial" w:cs="Arial"/>
          <w:b/>
        </w:rPr>
        <w:t>Los periodos sujetos a verificación serán los siguientes.</w:t>
      </w:r>
    </w:p>
    <w:p w14:paraId="07CFC7F7" w14:textId="77777777" w:rsidR="00CA5F15" w:rsidRDefault="00CA5F15" w:rsidP="00CA5F15">
      <w:pPr>
        <w:ind w:left="426"/>
        <w:jc w:val="both"/>
        <w:rPr>
          <w:rFonts w:ascii="Arial" w:hAnsi="Arial" w:cs="Arial"/>
        </w:rPr>
      </w:pPr>
    </w:p>
    <w:p w14:paraId="4937043B" w14:textId="77777777" w:rsidR="00CA5F15" w:rsidRDefault="00CA5F15" w:rsidP="00CA5F15">
      <w:pPr>
        <w:numPr>
          <w:ilvl w:val="0"/>
          <w:numId w:val="6"/>
        </w:numPr>
        <w:jc w:val="both"/>
        <w:rPr>
          <w:rFonts w:ascii="Arial" w:hAnsi="Arial" w:cs="Arial"/>
        </w:rPr>
      </w:pPr>
      <w:r>
        <w:rPr>
          <w:rFonts w:ascii="Arial" w:hAnsi="Arial" w:cs="Arial"/>
        </w:rPr>
        <w:t>En el mes de junio de 2023, se realizará la verificación correspondiente al primer trimestre del ejercicio 2023, es decir, de los meses de enero a marzo.</w:t>
      </w:r>
    </w:p>
    <w:p w14:paraId="5EAA196F" w14:textId="77777777" w:rsidR="00CA5F15" w:rsidRDefault="00CA5F15" w:rsidP="00CA5F15">
      <w:pPr>
        <w:jc w:val="both"/>
        <w:rPr>
          <w:rFonts w:ascii="Arial" w:hAnsi="Arial" w:cs="Arial"/>
        </w:rPr>
      </w:pPr>
    </w:p>
    <w:p w14:paraId="3E9E9489" w14:textId="77777777" w:rsidR="00CA5F15" w:rsidRDefault="00CA5F15" w:rsidP="00CA5F15">
      <w:pPr>
        <w:numPr>
          <w:ilvl w:val="0"/>
          <w:numId w:val="6"/>
        </w:numPr>
        <w:jc w:val="both"/>
        <w:rPr>
          <w:rFonts w:ascii="Arial" w:hAnsi="Arial" w:cs="Arial"/>
        </w:rPr>
      </w:pPr>
      <w:r>
        <w:rPr>
          <w:rFonts w:ascii="Arial" w:hAnsi="Arial" w:cs="Arial"/>
        </w:rPr>
        <w:t xml:space="preserve">En el mes de septiembre de 2023, se procederá a verificar el segundo trimestre del ejercicio 2023, siendo este los meses de abril a junio; </w:t>
      </w:r>
    </w:p>
    <w:p w14:paraId="64B5241C" w14:textId="77777777" w:rsidR="00CA5F15" w:rsidRDefault="00CA5F15" w:rsidP="00CA5F15">
      <w:pPr>
        <w:ind w:left="426" w:firstLine="60"/>
        <w:jc w:val="both"/>
        <w:rPr>
          <w:rFonts w:ascii="Arial" w:hAnsi="Arial" w:cs="Arial"/>
        </w:rPr>
      </w:pPr>
    </w:p>
    <w:p w14:paraId="143725EF" w14:textId="77777777" w:rsidR="00CA5F15" w:rsidRDefault="00CA5F15" w:rsidP="00CA5F15">
      <w:pPr>
        <w:numPr>
          <w:ilvl w:val="0"/>
          <w:numId w:val="6"/>
        </w:numPr>
        <w:jc w:val="both"/>
        <w:rPr>
          <w:rFonts w:ascii="Arial" w:hAnsi="Arial" w:cs="Arial"/>
        </w:rPr>
      </w:pPr>
      <w:r>
        <w:rPr>
          <w:rFonts w:ascii="Arial" w:hAnsi="Arial" w:cs="Arial"/>
        </w:rPr>
        <w:t xml:space="preserve">En el mes de diciembre de 2023, se realizará la verificación correspondiente al tercer trimestre del ejercicio 2023, es decir, de los meses de julio a septiembre. </w:t>
      </w:r>
    </w:p>
    <w:p w14:paraId="22B6FA8C" w14:textId="77777777" w:rsidR="00CA5F15" w:rsidRDefault="00CA5F15" w:rsidP="00CA5F15">
      <w:pPr>
        <w:jc w:val="both"/>
        <w:rPr>
          <w:rFonts w:ascii="Arial" w:hAnsi="Arial" w:cs="Arial"/>
        </w:rPr>
      </w:pPr>
    </w:p>
    <w:p w14:paraId="60B69397" w14:textId="77777777" w:rsidR="00CA5F15" w:rsidRDefault="00CA5F15" w:rsidP="00CA5F15">
      <w:pPr>
        <w:numPr>
          <w:ilvl w:val="0"/>
          <w:numId w:val="6"/>
        </w:numPr>
        <w:jc w:val="both"/>
        <w:rPr>
          <w:rFonts w:ascii="Arial" w:hAnsi="Arial" w:cs="Arial"/>
        </w:rPr>
      </w:pPr>
      <w:r>
        <w:rPr>
          <w:rFonts w:ascii="Arial" w:hAnsi="Arial" w:cs="Arial"/>
        </w:rPr>
        <w:t>En el mes de marzo de 2024, se procederá a verificar el cuarto trimestre del ejercicio 2023, siendo este los meses de octubre a diciembre.</w:t>
      </w:r>
    </w:p>
    <w:p w14:paraId="5748F3AD" w14:textId="77777777" w:rsidR="00CA5F15" w:rsidRDefault="00CA5F15" w:rsidP="00CA5F15">
      <w:pPr>
        <w:jc w:val="both"/>
        <w:rPr>
          <w:rFonts w:ascii="Arial" w:hAnsi="Arial" w:cs="Arial"/>
        </w:rPr>
      </w:pPr>
    </w:p>
    <w:p w14:paraId="24B91C4D" w14:textId="77777777" w:rsidR="00CA5F15" w:rsidRDefault="00CA5F15" w:rsidP="00CA5F15">
      <w:pPr>
        <w:numPr>
          <w:ilvl w:val="0"/>
          <w:numId w:val="5"/>
        </w:numPr>
        <w:jc w:val="both"/>
        <w:textAlignment w:val="baseline"/>
        <w:rPr>
          <w:rFonts w:ascii="Arial" w:hAnsi="Arial" w:cs="Arial"/>
          <w:b/>
        </w:rPr>
      </w:pPr>
      <w:r>
        <w:rPr>
          <w:rFonts w:ascii="Arial" w:hAnsi="Arial" w:cs="Arial"/>
          <w:b/>
        </w:rPr>
        <w:t>Los periodos en los que se llevará a cabo la verificación.</w:t>
      </w:r>
    </w:p>
    <w:p w14:paraId="6C7F7163" w14:textId="77777777" w:rsidR="00CA5F15" w:rsidRDefault="00CA5F15" w:rsidP="00CA5F15">
      <w:pPr>
        <w:ind w:left="1080"/>
        <w:jc w:val="both"/>
        <w:rPr>
          <w:rFonts w:ascii="Arial" w:hAnsi="Arial" w:cs="Arial"/>
        </w:rPr>
      </w:pPr>
    </w:p>
    <w:p w14:paraId="702DE4BD" w14:textId="77777777" w:rsidR="00CA5F15" w:rsidRDefault="00CA5F15" w:rsidP="00CA5F15">
      <w:pPr>
        <w:ind w:left="426"/>
        <w:jc w:val="both"/>
        <w:rPr>
          <w:rFonts w:ascii="Arial" w:hAnsi="Arial" w:cs="Arial"/>
        </w:rPr>
      </w:pPr>
      <w:r>
        <w:rPr>
          <w:rFonts w:ascii="Arial" w:hAnsi="Arial" w:cs="Arial"/>
        </w:rPr>
        <w:t>De acuerdo con lo expuesto en los incisos a) y b), los periodos para llevar a cabo las verificaciones serán los siguientes:</w:t>
      </w:r>
    </w:p>
    <w:p w14:paraId="2BAD1794" w14:textId="77777777" w:rsidR="00CA5F15" w:rsidRDefault="00CA5F15" w:rsidP="00CA5F15">
      <w:pPr>
        <w:jc w:val="center"/>
        <w:rPr>
          <w:rFonts w:ascii="Arial" w:hAnsi="Arial" w:cs="Arial"/>
        </w:rPr>
      </w:pPr>
    </w:p>
    <w:tbl>
      <w:tblPr>
        <w:tblW w:w="8358" w:type="dxa"/>
        <w:tblInd w:w="426" w:type="dxa"/>
        <w:tblCellMar>
          <w:left w:w="10" w:type="dxa"/>
          <w:right w:w="10" w:type="dxa"/>
        </w:tblCellMar>
        <w:tblLook w:val="0000" w:firstRow="0" w:lastRow="0" w:firstColumn="0" w:lastColumn="0" w:noHBand="0" w:noVBand="0"/>
      </w:tblPr>
      <w:tblGrid>
        <w:gridCol w:w="2173"/>
        <w:gridCol w:w="3492"/>
        <w:gridCol w:w="2693"/>
      </w:tblGrid>
      <w:tr w:rsidR="00CA5F15" w14:paraId="3094A50D" w14:textId="77777777" w:rsidTr="00304A44">
        <w:tc>
          <w:tcPr>
            <w:tcW w:w="2173"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2A6E586B" w14:textId="77777777" w:rsidR="00CA5F15" w:rsidRDefault="00CA5F15" w:rsidP="00304A44">
            <w:pPr>
              <w:jc w:val="center"/>
              <w:rPr>
                <w:rFonts w:ascii="Arial" w:hAnsi="Arial" w:cs="Arial"/>
                <w:b/>
                <w:bCs/>
              </w:rPr>
            </w:pPr>
            <w:r>
              <w:rPr>
                <w:rFonts w:ascii="Arial" w:hAnsi="Arial" w:cs="Arial"/>
                <w:b/>
                <w:bCs/>
              </w:rPr>
              <w:t>No. de verificación</w:t>
            </w:r>
          </w:p>
        </w:tc>
        <w:tc>
          <w:tcPr>
            <w:tcW w:w="3492"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6642B791" w14:textId="77777777" w:rsidR="00CA5F15" w:rsidRDefault="00CA5F15" w:rsidP="00304A44">
            <w:pPr>
              <w:jc w:val="center"/>
              <w:rPr>
                <w:rFonts w:ascii="Arial" w:hAnsi="Arial" w:cs="Arial"/>
                <w:b/>
                <w:bCs/>
              </w:rPr>
            </w:pPr>
            <w:r>
              <w:rPr>
                <w:rFonts w:ascii="Arial" w:hAnsi="Arial" w:cs="Arial"/>
                <w:b/>
                <w:bCs/>
              </w:rPr>
              <w:t>Periodo de realización</w:t>
            </w:r>
          </w:p>
        </w:tc>
        <w:tc>
          <w:tcPr>
            <w:tcW w:w="2693" w:type="dxa"/>
            <w:tcBorders>
              <w:top w:val="single" w:sz="4" w:space="0" w:color="000000"/>
              <w:left w:val="single" w:sz="4" w:space="0" w:color="000000"/>
              <w:bottom w:val="single" w:sz="4" w:space="0" w:color="000000"/>
              <w:right w:val="single" w:sz="4" w:space="0" w:color="000000"/>
            </w:tcBorders>
            <w:shd w:val="clear" w:color="auto" w:fill="A8D08D"/>
            <w:tcMar>
              <w:top w:w="0" w:type="dxa"/>
              <w:left w:w="10" w:type="dxa"/>
              <w:bottom w:w="0" w:type="dxa"/>
              <w:right w:w="10" w:type="dxa"/>
            </w:tcMar>
          </w:tcPr>
          <w:p w14:paraId="28892672" w14:textId="77777777" w:rsidR="00CA5F15" w:rsidRDefault="00CA5F15" w:rsidP="00304A44">
            <w:pPr>
              <w:jc w:val="center"/>
              <w:rPr>
                <w:rFonts w:ascii="Arial" w:hAnsi="Arial" w:cs="Arial"/>
                <w:b/>
                <w:bCs/>
              </w:rPr>
            </w:pPr>
            <w:r>
              <w:rPr>
                <w:rFonts w:ascii="Arial" w:hAnsi="Arial" w:cs="Arial"/>
                <w:b/>
                <w:bCs/>
              </w:rPr>
              <w:t>Trimestre del 2023 que se verifica</w:t>
            </w:r>
          </w:p>
        </w:tc>
      </w:tr>
      <w:tr w:rsidR="00CA5F15" w14:paraId="25983B95" w14:textId="77777777" w:rsidTr="00304A44">
        <w:tc>
          <w:tcPr>
            <w:tcW w:w="2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CC20E" w14:textId="77777777" w:rsidR="00CA5F15" w:rsidRDefault="00CA5F15" w:rsidP="00304A44">
            <w:pPr>
              <w:jc w:val="center"/>
              <w:rPr>
                <w:rFonts w:ascii="Arial" w:hAnsi="Arial" w:cs="Arial"/>
              </w:rPr>
            </w:pPr>
            <w:r>
              <w:rPr>
                <w:rFonts w:ascii="Arial" w:hAnsi="Arial" w:cs="Arial"/>
              </w:rPr>
              <w:t>Primera</w:t>
            </w:r>
          </w:p>
        </w:tc>
        <w:tc>
          <w:tcPr>
            <w:tcW w:w="3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D873A" w14:textId="77777777" w:rsidR="00CA5F15" w:rsidRDefault="00CA5F15" w:rsidP="00304A44">
            <w:pPr>
              <w:jc w:val="center"/>
              <w:rPr>
                <w:rFonts w:ascii="Arial" w:hAnsi="Arial" w:cs="Arial"/>
              </w:rPr>
            </w:pPr>
            <w:r>
              <w:rPr>
                <w:rFonts w:ascii="Arial" w:hAnsi="Arial" w:cs="Arial"/>
              </w:rPr>
              <w:t>junio - agosto 2023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398460" w14:textId="77777777" w:rsidR="00CA5F15" w:rsidRDefault="00CA5F15" w:rsidP="00304A44">
            <w:pPr>
              <w:jc w:val="center"/>
              <w:rPr>
                <w:rFonts w:ascii="Arial" w:hAnsi="Arial" w:cs="Arial"/>
              </w:rPr>
            </w:pPr>
            <w:r>
              <w:rPr>
                <w:rFonts w:ascii="Arial" w:hAnsi="Arial" w:cs="Arial"/>
              </w:rPr>
              <w:t>1°</w:t>
            </w:r>
          </w:p>
        </w:tc>
      </w:tr>
      <w:tr w:rsidR="00CA5F15" w14:paraId="68A7B19A" w14:textId="77777777" w:rsidTr="00304A44">
        <w:tc>
          <w:tcPr>
            <w:tcW w:w="2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27B66" w14:textId="77777777" w:rsidR="00CA5F15" w:rsidRDefault="00CA5F15" w:rsidP="00304A44">
            <w:pPr>
              <w:jc w:val="center"/>
              <w:rPr>
                <w:rFonts w:ascii="Arial" w:hAnsi="Arial" w:cs="Arial"/>
              </w:rPr>
            </w:pPr>
            <w:r>
              <w:rPr>
                <w:rFonts w:ascii="Arial" w:hAnsi="Arial" w:cs="Arial"/>
              </w:rPr>
              <w:t>Segunda</w:t>
            </w:r>
          </w:p>
        </w:tc>
        <w:tc>
          <w:tcPr>
            <w:tcW w:w="3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4E1B5" w14:textId="77777777" w:rsidR="00CA5F15" w:rsidRDefault="00CA5F15" w:rsidP="00304A44">
            <w:pPr>
              <w:jc w:val="center"/>
              <w:rPr>
                <w:rFonts w:ascii="Arial" w:hAnsi="Arial" w:cs="Arial"/>
              </w:rPr>
            </w:pPr>
            <w:r>
              <w:rPr>
                <w:rFonts w:ascii="Arial" w:hAnsi="Arial" w:cs="Arial"/>
              </w:rPr>
              <w:t>septiembre - noviembre 2023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1439494" w14:textId="77777777" w:rsidR="00CA5F15" w:rsidRDefault="00CA5F15" w:rsidP="00304A44">
            <w:pPr>
              <w:jc w:val="center"/>
              <w:rPr>
                <w:rFonts w:ascii="Arial" w:hAnsi="Arial" w:cs="Arial"/>
              </w:rPr>
            </w:pPr>
            <w:r>
              <w:rPr>
                <w:rFonts w:ascii="Arial" w:hAnsi="Arial" w:cs="Arial"/>
              </w:rPr>
              <w:t>2°</w:t>
            </w:r>
          </w:p>
        </w:tc>
      </w:tr>
      <w:tr w:rsidR="00CA5F15" w14:paraId="6118F833" w14:textId="77777777" w:rsidTr="00304A44">
        <w:tc>
          <w:tcPr>
            <w:tcW w:w="2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557DC" w14:textId="77777777" w:rsidR="00CA5F15" w:rsidRDefault="00CA5F15" w:rsidP="00304A44">
            <w:pPr>
              <w:jc w:val="center"/>
              <w:rPr>
                <w:rFonts w:ascii="Arial" w:hAnsi="Arial" w:cs="Arial"/>
              </w:rPr>
            </w:pPr>
            <w:r>
              <w:rPr>
                <w:rFonts w:ascii="Arial" w:hAnsi="Arial" w:cs="Arial"/>
              </w:rPr>
              <w:t>Tercera</w:t>
            </w:r>
          </w:p>
        </w:tc>
        <w:tc>
          <w:tcPr>
            <w:tcW w:w="3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85083" w14:textId="77777777" w:rsidR="00CA5F15" w:rsidRDefault="00CA5F15" w:rsidP="00304A44">
            <w:pPr>
              <w:jc w:val="center"/>
              <w:rPr>
                <w:rFonts w:ascii="Arial" w:hAnsi="Arial" w:cs="Arial"/>
              </w:rPr>
            </w:pPr>
            <w:r>
              <w:rPr>
                <w:rFonts w:ascii="Arial" w:hAnsi="Arial" w:cs="Arial"/>
              </w:rPr>
              <w:t>diciembre 2023 - febrero 2024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4D59745" w14:textId="77777777" w:rsidR="00CA5F15" w:rsidRDefault="00CA5F15" w:rsidP="00304A44">
            <w:pPr>
              <w:jc w:val="center"/>
              <w:rPr>
                <w:rFonts w:ascii="Arial" w:hAnsi="Arial" w:cs="Arial"/>
              </w:rPr>
            </w:pPr>
            <w:r>
              <w:rPr>
                <w:rFonts w:ascii="Arial" w:hAnsi="Arial" w:cs="Arial"/>
              </w:rPr>
              <w:t>3°</w:t>
            </w:r>
          </w:p>
        </w:tc>
      </w:tr>
      <w:tr w:rsidR="00CA5F15" w14:paraId="5B541D0F" w14:textId="77777777" w:rsidTr="00304A44">
        <w:tc>
          <w:tcPr>
            <w:tcW w:w="2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696F8" w14:textId="77777777" w:rsidR="00CA5F15" w:rsidRDefault="00CA5F15" w:rsidP="00304A44">
            <w:pPr>
              <w:jc w:val="center"/>
              <w:rPr>
                <w:rFonts w:ascii="Arial" w:hAnsi="Arial" w:cs="Arial"/>
              </w:rPr>
            </w:pPr>
            <w:r>
              <w:rPr>
                <w:rFonts w:ascii="Arial" w:hAnsi="Arial" w:cs="Arial"/>
              </w:rPr>
              <w:t>Cuarta</w:t>
            </w:r>
          </w:p>
        </w:tc>
        <w:tc>
          <w:tcPr>
            <w:tcW w:w="3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A64C9" w14:textId="77777777" w:rsidR="00CA5F15" w:rsidRDefault="00CA5F15" w:rsidP="00304A44">
            <w:pPr>
              <w:jc w:val="center"/>
              <w:rPr>
                <w:rFonts w:ascii="Arial" w:hAnsi="Arial" w:cs="Arial"/>
              </w:rPr>
            </w:pPr>
            <w:r>
              <w:rPr>
                <w:rFonts w:ascii="Arial" w:hAnsi="Arial" w:cs="Arial"/>
              </w:rPr>
              <w:t>marzo - mayo 2024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C951CE" w14:textId="77777777" w:rsidR="00CA5F15" w:rsidRDefault="00CA5F15" w:rsidP="00304A44">
            <w:pPr>
              <w:jc w:val="center"/>
              <w:rPr>
                <w:rFonts w:ascii="Arial" w:hAnsi="Arial" w:cs="Arial"/>
              </w:rPr>
            </w:pPr>
            <w:r>
              <w:rPr>
                <w:rFonts w:ascii="Arial" w:hAnsi="Arial" w:cs="Arial"/>
              </w:rPr>
              <w:t>4°</w:t>
            </w:r>
          </w:p>
        </w:tc>
      </w:tr>
    </w:tbl>
    <w:p w14:paraId="44EB9E64" w14:textId="77777777" w:rsidR="00CA5F15" w:rsidRDefault="00CA5F15" w:rsidP="00CA5F15">
      <w:pPr>
        <w:jc w:val="both"/>
        <w:rPr>
          <w:rFonts w:ascii="Arial" w:hAnsi="Arial" w:cs="Arial"/>
        </w:rPr>
      </w:pPr>
    </w:p>
    <w:p w14:paraId="1E284948" w14:textId="77777777" w:rsidR="00CA5F15" w:rsidRDefault="00CA5F15" w:rsidP="00CA5F15">
      <w:pPr>
        <w:numPr>
          <w:ilvl w:val="0"/>
          <w:numId w:val="5"/>
        </w:numPr>
        <w:jc w:val="both"/>
        <w:textAlignment w:val="baseline"/>
        <w:rPr>
          <w:rFonts w:ascii="Arial" w:hAnsi="Arial" w:cs="Arial"/>
          <w:b/>
        </w:rPr>
      </w:pPr>
      <w:r>
        <w:rPr>
          <w:rFonts w:ascii="Arial" w:hAnsi="Arial" w:cs="Arial"/>
          <w:b/>
        </w:rPr>
        <w:t>La modalidad de verificación.</w:t>
      </w:r>
    </w:p>
    <w:p w14:paraId="0A9018AA" w14:textId="77777777" w:rsidR="00CA5F15" w:rsidRDefault="00CA5F15" w:rsidP="00CA5F15">
      <w:pPr>
        <w:ind w:left="1080"/>
        <w:jc w:val="both"/>
        <w:rPr>
          <w:rFonts w:ascii="Arial" w:hAnsi="Arial" w:cs="Arial"/>
          <w:b/>
        </w:rPr>
      </w:pPr>
    </w:p>
    <w:p w14:paraId="550EEC80" w14:textId="77777777" w:rsidR="00CA5F15" w:rsidRDefault="00CA5F15" w:rsidP="00CA5F15">
      <w:pPr>
        <w:ind w:left="426"/>
        <w:jc w:val="both"/>
        <w:rPr>
          <w:rFonts w:ascii="Arial" w:hAnsi="Arial" w:cs="Arial"/>
        </w:rPr>
      </w:pPr>
      <w:r>
        <w:rPr>
          <w:rFonts w:ascii="Arial" w:hAnsi="Arial" w:cs="Arial"/>
        </w:rPr>
        <w:t xml:space="preserve">De conformidad con el artículo 110 de la Ley Local, así como los numerales Quinto, Octavo y Noveno de los Lineamientos de Verificación, las verificaciones se podrán llevar a cabo de manera periódica o muestral. </w:t>
      </w:r>
    </w:p>
    <w:p w14:paraId="3893D3ED" w14:textId="77777777" w:rsidR="00CA5F15" w:rsidRDefault="00CA5F15" w:rsidP="00CA5F15">
      <w:pPr>
        <w:ind w:left="426"/>
        <w:jc w:val="both"/>
        <w:rPr>
          <w:rFonts w:ascii="Arial" w:hAnsi="Arial" w:cs="Arial"/>
        </w:rPr>
      </w:pPr>
    </w:p>
    <w:p w14:paraId="1A35F461" w14:textId="77777777" w:rsidR="00CA5F15" w:rsidRDefault="00CA5F15" w:rsidP="00CA5F15">
      <w:pPr>
        <w:ind w:left="426"/>
        <w:jc w:val="both"/>
        <w:rPr>
          <w:rFonts w:ascii="Arial" w:hAnsi="Arial" w:cs="Arial"/>
        </w:rPr>
      </w:pPr>
      <w:r>
        <w:rPr>
          <w:rFonts w:ascii="Arial" w:hAnsi="Arial" w:cs="Arial"/>
        </w:rPr>
        <w:t>En lo que respecta al ejercicio 2023, las mismas se llevarán de manera censal y periódica, es decir, a la totalidad de los sujetos obligados inscritos en el padrón vigente al momento de la verificación en curso que corresponda y de los periodos del 2023.</w:t>
      </w:r>
    </w:p>
    <w:p w14:paraId="22ECF971" w14:textId="77777777" w:rsidR="00CA5F15" w:rsidRDefault="00CA5F15" w:rsidP="00CA5F15">
      <w:pPr>
        <w:ind w:left="426"/>
        <w:jc w:val="both"/>
        <w:rPr>
          <w:rFonts w:ascii="Arial" w:hAnsi="Arial" w:cs="Arial"/>
        </w:rPr>
      </w:pPr>
    </w:p>
    <w:p w14:paraId="782A3379" w14:textId="77777777" w:rsidR="00CA5F15" w:rsidRDefault="00CA5F15" w:rsidP="00CA5F15">
      <w:pPr>
        <w:ind w:left="426"/>
        <w:jc w:val="both"/>
        <w:rPr>
          <w:rFonts w:ascii="Arial" w:hAnsi="Arial" w:cs="Arial"/>
        </w:rPr>
      </w:pPr>
      <w:r>
        <w:rPr>
          <w:rFonts w:ascii="Arial" w:hAnsi="Arial" w:cs="Arial"/>
        </w:rPr>
        <w:t>Aunado a lo anterior, cabe mencionar, que según lo dispuesto en el numeral Cuarto, fracción III de los Lineamientos Técnicos Estatales, los sujetos obligados de reciente creación y/o incorporación al Padrón, contarán con un período de 06 meses contados a partir de que este órgano autónomo les proporcione los elementos de seguridad para acceder a la Plataforma Nacional de Transparencia, por lo anterior, los sujetos obligados de reciente creación y/o incorporación al Padrón, serán verificados una vez cumplido el plazo mencionado, integrándose a la verificación trimestral que corresponda.</w:t>
      </w:r>
    </w:p>
    <w:p w14:paraId="0605977B" w14:textId="77777777" w:rsidR="00CA5F15" w:rsidRDefault="00CA5F15" w:rsidP="00CA5F15">
      <w:pPr>
        <w:ind w:left="426"/>
        <w:jc w:val="both"/>
        <w:rPr>
          <w:rFonts w:ascii="Arial" w:hAnsi="Arial" w:cs="Arial"/>
        </w:rPr>
      </w:pPr>
    </w:p>
    <w:p w14:paraId="1F90FA2A" w14:textId="77777777" w:rsidR="00CA5F15" w:rsidRDefault="00CA5F15" w:rsidP="00CA5F15">
      <w:pPr>
        <w:numPr>
          <w:ilvl w:val="0"/>
          <w:numId w:val="5"/>
        </w:numPr>
        <w:jc w:val="both"/>
        <w:textAlignment w:val="baseline"/>
        <w:rPr>
          <w:rFonts w:ascii="Arial" w:hAnsi="Arial" w:cs="Arial"/>
          <w:b/>
        </w:rPr>
      </w:pPr>
      <w:r>
        <w:rPr>
          <w:rFonts w:ascii="Arial" w:hAnsi="Arial" w:cs="Arial"/>
          <w:b/>
        </w:rPr>
        <w:t>Medio de verificación virtual.</w:t>
      </w:r>
    </w:p>
    <w:p w14:paraId="17D9E4BE" w14:textId="77777777" w:rsidR="00CA5F15" w:rsidRDefault="00CA5F15" w:rsidP="00CA5F15">
      <w:pPr>
        <w:ind w:left="426"/>
        <w:jc w:val="both"/>
        <w:rPr>
          <w:rFonts w:ascii="Arial" w:hAnsi="Arial" w:cs="Arial"/>
        </w:rPr>
      </w:pPr>
    </w:p>
    <w:p w14:paraId="1D290B71" w14:textId="77777777" w:rsidR="00CA5F15" w:rsidRDefault="00CA5F15" w:rsidP="00CA5F15">
      <w:pPr>
        <w:ind w:left="426"/>
        <w:jc w:val="both"/>
        <w:rPr>
          <w:rFonts w:ascii="Arial" w:hAnsi="Arial" w:cs="Arial"/>
        </w:rPr>
      </w:pPr>
      <w:r>
        <w:rPr>
          <w:rFonts w:ascii="Arial" w:hAnsi="Arial" w:cs="Arial"/>
        </w:rPr>
        <w:t xml:space="preserve">Las verificaciones a realizar serán en la Plataforma Nacional de Transparencia, ya que según lo estipulado en el artículo 110 de la Ley Local, la información que publiquen los sujetos obligados deberá de estar contenida en la misma, lo anterior a través del SIPOT de conformidad con los artículos 3, 13 y 26 de los Lineamientos de la Funcionalidad, Operación y Mejoras de la Plataforma Nacional de Transparencia, así como el numeral Décimo primero de los Lineamientos de Verificación, dicha Plataforma está integrada, entre otros, por el SIPOT, que constituye el instrumento informático a través del cual, todos los sujetos obligados ponen a disposición de los particulares la información referente a las obligaciones de transparencia contenidas dentro de los artículos 95 a 108 de la Ley Local, siendo éste el repositorio de información obligatoria de transparencia nacional. </w:t>
      </w:r>
    </w:p>
    <w:p w14:paraId="4AA8AD4A" w14:textId="77777777" w:rsidR="00CA5F15" w:rsidRDefault="00CA5F15" w:rsidP="00CA5F15">
      <w:pPr>
        <w:ind w:left="426"/>
        <w:jc w:val="both"/>
        <w:rPr>
          <w:rFonts w:ascii="Arial" w:hAnsi="Arial" w:cs="Arial"/>
        </w:rPr>
      </w:pPr>
    </w:p>
    <w:p w14:paraId="440CD569" w14:textId="77777777" w:rsidR="00CA5F15" w:rsidRDefault="00CA5F15" w:rsidP="00CA5F15">
      <w:pPr>
        <w:numPr>
          <w:ilvl w:val="0"/>
          <w:numId w:val="5"/>
        </w:numPr>
        <w:jc w:val="both"/>
        <w:textAlignment w:val="baseline"/>
        <w:rPr>
          <w:rFonts w:ascii="Arial" w:hAnsi="Arial" w:cs="Arial"/>
          <w:b/>
        </w:rPr>
      </w:pPr>
      <w:r>
        <w:rPr>
          <w:rFonts w:ascii="Arial" w:hAnsi="Arial" w:cs="Arial"/>
          <w:b/>
        </w:rPr>
        <w:t xml:space="preserve">Acompañamiento institucional. </w:t>
      </w:r>
    </w:p>
    <w:p w14:paraId="3B63FBB4" w14:textId="77777777" w:rsidR="00CA5F15" w:rsidRDefault="00CA5F15" w:rsidP="00CA5F15">
      <w:pPr>
        <w:jc w:val="both"/>
        <w:rPr>
          <w:rFonts w:ascii="Arial" w:hAnsi="Arial" w:cs="Arial"/>
          <w:b/>
        </w:rPr>
      </w:pPr>
    </w:p>
    <w:p w14:paraId="05BC0B13" w14:textId="77777777" w:rsidR="00CA5F15" w:rsidRDefault="00CA5F15" w:rsidP="00CA5F15">
      <w:pPr>
        <w:ind w:left="360"/>
        <w:jc w:val="both"/>
        <w:rPr>
          <w:rFonts w:ascii="Arial" w:hAnsi="Arial" w:cs="Arial"/>
        </w:rPr>
      </w:pPr>
      <w:r>
        <w:rPr>
          <w:rFonts w:ascii="Arial" w:hAnsi="Arial" w:cs="Arial"/>
        </w:rPr>
        <w:t>El Instituto, pone a disposición de los sujetos obligados orientación y/o asesoría que requieran para el debido cumplimiento en la publicación de la información derivada de sus obligaciones de transparencia, a través de las Coordinaciones de Verificación y de la Coordinación de Capacitación a Sujetos Obligados.</w:t>
      </w:r>
    </w:p>
    <w:p w14:paraId="1A0193D9" w14:textId="77777777" w:rsidR="00CA5F15" w:rsidRDefault="00CA5F15" w:rsidP="00CA5F15">
      <w:pPr>
        <w:ind w:left="426"/>
        <w:jc w:val="both"/>
        <w:rPr>
          <w:rFonts w:ascii="Arial" w:hAnsi="Arial" w:cs="Arial"/>
        </w:rPr>
      </w:pPr>
    </w:p>
    <w:p w14:paraId="4991AB4C" w14:textId="77777777" w:rsidR="00CA5F15" w:rsidRDefault="00CA5F15" w:rsidP="00CA5F15">
      <w:pPr>
        <w:numPr>
          <w:ilvl w:val="0"/>
          <w:numId w:val="5"/>
        </w:numPr>
        <w:jc w:val="both"/>
        <w:textAlignment w:val="baseline"/>
        <w:rPr>
          <w:rFonts w:ascii="Arial" w:hAnsi="Arial" w:cs="Arial"/>
          <w:b/>
        </w:rPr>
      </w:pPr>
      <w:r>
        <w:rPr>
          <w:rFonts w:ascii="Arial" w:hAnsi="Arial" w:cs="Arial"/>
          <w:b/>
        </w:rPr>
        <w:t xml:space="preserve">Conclusión de la verificación. </w:t>
      </w:r>
    </w:p>
    <w:p w14:paraId="746556AD" w14:textId="77777777" w:rsidR="00CA5F15" w:rsidRDefault="00CA5F15" w:rsidP="00CA5F15">
      <w:pPr>
        <w:ind w:left="426"/>
        <w:jc w:val="both"/>
        <w:rPr>
          <w:rFonts w:ascii="Arial" w:hAnsi="Arial" w:cs="Arial"/>
        </w:rPr>
      </w:pPr>
    </w:p>
    <w:p w14:paraId="6EBB2368" w14:textId="77777777" w:rsidR="00CA5F15" w:rsidRDefault="00CA5F15" w:rsidP="00CA5F15">
      <w:pPr>
        <w:ind w:left="426"/>
        <w:jc w:val="both"/>
        <w:rPr>
          <w:rFonts w:ascii="Arial" w:hAnsi="Arial" w:cs="Arial"/>
        </w:rPr>
      </w:pPr>
      <w:r>
        <w:rPr>
          <w:rFonts w:ascii="Arial" w:hAnsi="Arial" w:cs="Arial"/>
        </w:rPr>
        <w:t>Una vez concluido el periodo de la verificación en los términos establecidos en el presente Programa, el Pleno emitirá un acuerdo en el que se determine el cumplimiento, o incumplimiento, de las obligaciones de transparencia que correspondan a cada sujeto obligado, de acuerdo con lo establecido en la Ley Local y los Lineamientos Técnicos Estatales, dando a conocer el Índice Global de Cumplimiento (IGC) con una ponderación de 0 a 100.</w:t>
      </w:r>
    </w:p>
    <w:p w14:paraId="1C4A30AA" w14:textId="77777777" w:rsidR="00CA5F15" w:rsidRDefault="00CA5F15" w:rsidP="00CA5F15">
      <w:pPr>
        <w:ind w:left="426"/>
        <w:jc w:val="both"/>
        <w:rPr>
          <w:rFonts w:ascii="Arial" w:hAnsi="Arial" w:cs="Arial"/>
        </w:rPr>
      </w:pPr>
    </w:p>
    <w:p w14:paraId="6539A22D" w14:textId="77777777" w:rsidR="00CA5F15" w:rsidRDefault="00CA5F15" w:rsidP="00CA5F15">
      <w:pPr>
        <w:ind w:left="426"/>
        <w:jc w:val="both"/>
        <w:rPr>
          <w:rFonts w:ascii="Arial" w:hAnsi="Arial" w:cs="Arial"/>
        </w:rPr>
      </w:pPr>
      <w:r>
        <w:rPr>
          <w:rFonts w:ascii="Arial" w:hAnsi="Arial" w:cs="Arial"/>
        </w:rPr>
        <w:t xml:space="preserve">En este sentido, se tendrán por cumplidos, a todos aquellos sujetos obligados, cuya ponderación obtenida corresponda a 100. </w:t>
      </w:r>
    </w:p>
    <w:p w14:paraId="6F0F8FEE" w14:textId="77777777" w:rsidR="00CA5F15" w:rsidRDefault="00CA5F15" w:rsidP="00CA5F15">
      <w:pPr>
        <w:ind w:left="426"/>
        <w:jc w:val="both"/>
        <w:rPr>
          <w:rFonts w:ascii="Arial" w:hAnsi="Arial" w:cs="Arial"/>
        </w:rPr>
      </w:pPr>
    </w:p>
    <w:p w14:paraId="431199C4" w14:textId="77777777" w:rsidR="00CA5F15" w:rsidRDefault="00CA5F15" w:rsidP="00CA5F15">
      <w:pPr>
        <w:shd w:val="clear" w:color="auto" w:fill="FFFFFF"/>
        <w:ind w:left="426"/>
        <w:jc w:val="both"/>
        <w:rPr>
          <w:rFonts w:ascii="Arial" w:hAnsi="Arial" w:cs="Arial"/>
        </w:rPr>
      </w:pPr>
      <w:r>
        <w:rPr>
          <w:rFonts w:ascii="Arial" w:hAnsi="Arial" w:cs="Arial"/>
        </w:rPr>
        <w:t>Por el contrario, los sujetos obligados cuya ponderación sea igual o menor a 99.99, serán requeridos por instrucciones del Pleno, a fin de que subsanen las omisiones detectadas por la verificación realizada, dando inicio así, al Procedimiento por Incumplimiento de las Obligaciones de Transparencia, de conformidad con lo establecido en el artículo 111, fracción VII de la Ley local.</w:t>
      </w:r>
    </w:p>
    <w:p w14:paraId="1544DB3C" w14:textId="77777777" w:rsidR="00CA5F15" w:rsidRDefault="00CA5F15" w:rsidP="00CA5F15">
      <w:pPr>
        <w:shd w:val="clear" w:color="auto" w:fill="FFFFFF"/>
        <w:ind w:left="426"/>
        <w:jc w:val="both"/>
        <w:rPr>
          <w:rFonts w:ascii="Arial" w:hAnsi="Arial" w:cs="Arial"/>
        </w:rPr>
      </w:pPr>
      <w:r>
        <w:rPr>
          <w:rFonts w:ascii="Arial" w:hAnsi="Arial" w:cs="Arial"/>
        </w:rPr>
        <w:t xml:space="preserve"> </w:t>
      </w:r>
    </w:p>
    <w:p w14:paraId="0D9B36E9" w14:textId="77777777" w:rsidR="00CA5F15" w:rsidRDefault="00CA5F15" w:rsidP="00CA5F15">
      <w:pPr>
        <w:shd w:val="clear" w:color="auto" w:fill="FFFFFF"/>
        <w:ind w:left="426"/>
        <w:jc w:val="center"/>
      </w:pPr>
      <w:r>
        <w:rPr>
          <w:rFonts w:ascii="Arial" w:eastAsia="Calibri" w:hAnsi="Arial" w:cs="Arial"/>
          <w:b/>
          <w:spacing w:val="40"/>
          <w:lang w:val="es-MX" w:eastAsia="en-US"/>
        </w:rPr>
        <w:t>TRANSITORIOS</w:t>
      </w:r>
    </w:p>
    <w:p w14:paraId="16963F45" w14:textId="77777777" w:rsidR="00CA5F15" w:rsidRDefault="00CA5F15" w:rsidP="00CA5F15">
      <w:pPr>
        <w:jc w:val="both"/>
        <w:rPr>
          <w:rFonts w:ascii="Arial" w:eastAsia="Calibri" w:hAnsi="Arial" w:cs="Arial"/>
          <w:lang w:val="es-MX" w:eastAsia="en-US"/>
        </w:rPr>
      </w:pPr>
    </w:p>
    <w:p w14:paraId="1D05FD81" w14:textId="77777777" w:rsidR="00CA5F15" w:rsidRDefault="00CA5F15" w:rsidP="00CA5F15">
      <w:pPr>
        <w:ind w:firstLine="426"/>
        <w:jc w:val="both"/>
      </w:pPr>
      <w:r>
        <w:rPr>
          <w:rFonts w:ascii="Arial" w:eastAsia="Calibri" w:hAnsi="Arial" w:cs="Arial"/>
          <w:b/>
          <w:lang w:val="es-MX" w:eastAsia="en-US"/>
        </w:rPr>
        <w:t>Primero:</w:t>
      </w:r>
      <w:r>
        <w:rPr>
          <w:rFonts w:ascii="Arial" w:eastAsia="Calibri" w:hAnsi="Arial" w:cs="Arial"/>
          <w:lang w:val="es-MX" w:eastAsia="en-US"/>
        </w:rPr>
        <w:t xml:space="preserve"> El presente programa entrará en vigor al momento de su aprobación. </w:t>
      </w:r>
    </w:p>
    <w:p w14:paraId="09DB03A0" w14:textId="77777777" w:rsidR="00CA5F15" w:rsidRDefault="00CA5F15" w:rsidP="00CA5F15">
      <w:pPr>
        <w:jc w:val="both"/>
        <w:rPr>
          <w:rFonts w:ascii="Arial" w:eastAsia="Calibri" w:hAnsi="Arial" w:cs="Arial"/>
          <w:lang w:val="es-MX" w:eastAsia="en-US"/>
        </w:rPr>
      </w:pPr>
    </w:p>
    <w:p w14:paraId="3226C8B9" w14:textId="77777777" w:rsidR="00CA5F15" w:rsidRDefault="00CA5F15" w:rsidP="00CA5F15">
      <w:pPr>
        <w:ind w:left="426"/>
        <w:jc w:val="both"/>
      </w:pPr>
      <w:r>
        <w:rPr>
          <w:rFonts w:ascii="Arial" w:eastAsia="Calibri" w:hAnsi="Arial" w:cs="Arial"/>
          <w:b/>
          <w:lang w:val="es-MX" w:eastAsia="en-US"/>
        </w:rPr>
        <w:t>Segundo:</w:t>
      </w:r>
      <w:r>
        <w:rPr>
          <w:rFonts w:ascii="Arial" w:eastAsia="Calibri" w:hAnsi="Arial" w:cs="Arial"/>
          <w:lang w:val="es-MX" w:eastAsia="en-US"/>
        </w:rPr>
        <w:t xml:space="preserve"> Se ordena la publicación del presente programa en el Portal de Internet del Instituto Estatal de Transparencia, Acceso a la Información y Protección de Datos Personales.</w:t>
      </w:r>
    </w:p>
    <w:p w14:paraId="14EF3282" w14:textId="77777777" w:rsidR="00CA5F15" w:rsidRDefault="00CA5F15" w:rsidP="00CA5F15">
      <w:pPr>
        <w:ind w:left="426"/>
        <w:jc w:val="both"/>
        <w:rPr>
          <w:rFonts w:ascii="Arial" w:hAnsi="Arial" w:cs="Arial"/>
        </w:rPr>
      </w:pPr>
    </w:p>
    <w:p w14:paraId="37715BC6" w14:textId="77777777" w:rsidR="00CA5F15" w:rsidRDefault="00CA5F15" w:rsidP="00CA5F15">
      <w:pPr>
        <w:ind w:left="426"/>
        <w:jc w:val="both"/>
      </w:pPr>
      <w:r>
        <w:rPr>
          <w:rFonts w:ascii="Arial" w:eastAsia="Calibri" w:hAnsi="Arial" w:cs="Arial"/>
          <w:b/>
          <w:lang w:val="es-MX" w:eastAsia="en-US"/>
        </w:rPr>
        <w:t xml:space="preserve">Tercero: </w:t>
      </w:r>
      <w:r>
        <w:rPr>
          <w:rFonts w:ascii="Arial" w:eastAsia="Calibri" w:hAnsi="Arial" w:cs="Arial"/>
          <w:bCs/>
          <w:lang w:val="es-MX" w:eastAsia="en-US"/>
        </w:rPr>
        <w:t>Se</w:t>
      </w:r>
      <w:r>
        <w:rPr>
          <w:rFonts w:ascii="Arial" w:eastAsia="Calibri" w:hAnsi="Arial" w:cs="Arial"/>
          <w:lang w:val="es-MX" w:eastAsia="en-US"/>
        </w:rPr>
        <w:t xml:space="preserve"> instruye a la Secretaría Ejecutiva de este Instituto para que le dé la debida difusión a los sujetos obligados, con la finalidad de que tengan conocimiento de los periodos que estarán sujetos a verificación.</w:t>
      </w:r>
    </w:p>
    <w:p w14:paraId="12DA9DC3" w14:textId="77777777" w:rsidR="00CA5F15" w:rsidRDefault="00CA5F15" w:rsidP="00CA5F15">
      <w:pPr>
        <w:ind w:left="426"/>
        <w:jc w:val="both"/>
        <w:rPr>
          <w:rFonts w:ascii="Arial" w:eastAsia="Calibri" w:hAnsi="Arial" w:cs="Arial"/>
          <w:lang w:val="es-MX" w:eastAsia="en-US"/>
        </w:rPr>
      </w:pPr>
    </w:p>
    <w:p w14:paraId="67E30BB8" w14:textId="77777777" w:rsidR="00CA5F15" w:rsidRDefault="00CA5F15" w:rsidP="00CA5F15">
      <w:pPr>
        <w:ind w:left="426"/>
        <w:jc w:val="both"/>
        <w:rPr>
          <w:rFonts w:ascii="Arial" w:eastAsia="Calibri" w:hAnsi="Arial" w:cs="Arial"/>
          <w:lang w:val="es-MX" w:eastAsia="en-US"/>
        </w:rPr>
      </w:pPr>
      <w:r>
        <w:rPr>
          <w:rFonts w:ascii="Arial" w:eastAsia="Calibri" w:hAnsi="Arial" w:cs="Arial"/>
          <w:lang w:val="es-MX" w:eastAsia="en-US"/>
        </w:rPr>
        <w:t>Aprobado por la unanimidad de votos de las Consejeras y los Consejeros en sesión de Pleno del Instituto Estatal de Transparencia, Acceso a la Información y Protección de Datos Personales, en la décima quinta sesión ordinaria celebrada el 19 de abril de 2023.</w:t>
      </w:r>
    </w:p>
    <w:p w14:paraId="0C456F6F" w14:textId="77777777" w:rsidR="00CA5F15" w:rsidRDefault="00CA5F15" w:rsidP="00CA5F15">
      <w:pPr>
        <w:ind w:left="426"/>
        <w:jc w:val="both"/>
        <w:rPr>
          <w:rFonts w:ascii="Arial" w:eastAsia="Calibri" w:hAnsi="Arial" w:cs="Arial"/>
          <w:lang w:val="es-MX" w:eastAsia="en-US"/>
        </w:rPr>
      </w:pPr>
    </w:p>
    <w:p w14:paraId="5ED0A3C7" w14:textId="77777777" w:rsidR="00CA5F15" w:rsidRDefault="00CA5F15" w:rsidP="00CA5F15">
      <w:pPr>
        <w:ind w:left="426"/>
        <w:jc w:val="both"/>
        <w:rPr>
          <w:rFonts w:ascii="Arial" w:eastAsia="Calibri" w:hAnsi="Arial" w:cs="Arial"/>
          <w:lang w:val="es-MX" w:eastAsia="en-US"/>
        </w:rPr>
      </w:pPr>
      <w:r>
        <w:rPr>
          <w:rFonts w:ascii="Arial" w:eastAsia="Calibri" w:hAnsi="Arial" w:cs="Arial"/>
          <w:lang w:val="es-MX" w:eastAsia="en-US"/>
        </w:rPr>
        <w:t xml:space="preserve">Las Consejeras y los Consejeros presentes firman al calce para todos los efectos a que haya lugar. </w:t>
      </w:r>
    </w:p>
    <w:p w14:paraId="0527FAD0" w14:textId="77777777" w:rsidR="00CA5F15" w:rsidRDefault="00CA5F15" w:rsidP="00CA5F15">
      <w:pPr>
        <w:jc w:val="center"/>
        <w:rPr>
          <w:rFonts w:ascii="Arial" w:eastAsia="Calibri" w:hAnsi="Arial" w:cs="Arial"/>
          <w:sz w:val="22"/>
          <w:lang w:val="es-MX" w:eastAsia="en-US"/>
        </w:rPr>
      </w:pPr>
    </w:p>
    <w:p w14:paraId="69CDB827" w14:textId="77777777" w:rsidR="00CA5F15" w:rsidRDefault="00CA5F15" w:rsidP="00CA5F15">
      <w:pPr>
        <w:jc w:val="center"/>
        <w:rPr>
          <w:rFonts w:ascii="Arial" w:eastAsia="Calibri" w:hAnsi="Arial" w:cs="Arial"/>
          <w:sz w:val="22"/>
          <w:lang w:val="es-MX" w:eastAsia="en-US"/>
        </w:rPr>
      </w:pPr>
    </w:p>
    <w:p w14:paraId="141EB206" w14:textId="77777777" w:rsidR="00CA5F15" w:rsidRDefault="00CA5F15" w:rsidP="00CA5F15">
      <w:pPr>
        <w:jc w:val="center"/>
        <w:rPr>
          <w:rFonts w:ascii="Arial" w:eastAsia="Calibri" w:hAnsi="Arial" w:cs="Arial"/>
          <w:sz w:val="22"/>
          <w:lang w:val="es-MX" w:eastAsia="en-US"/>
        </w:rPr>
      </w:pPr>
    </w:p>
    <w:p w14:paraId="78A03B56" w14:textId="77777777" w:rsidR="00CA5F15" w:rsidRDefault="00CA5F15" w:rsidP="00CA5F15">
      <w:pPr>
        <w:jc w:val="center"/>
        <w:rPr>
          <w:rFonts w:ascii="Arial" w:eastAsia="Calibri" w:hAnsi="Arial" w:cs="Arial"/>
          <w:sz w:val="22"/>
          <w:lang w:val="es-MX" w:eastAsia="en-US"/>
        </w:rPr>
      </w:pPr>
    </w:p>
    <w:p w14:paraId="3611440F" w14:textId="77777777" w:rsidR="00CA5F15" w:rsidRDefault="00CA5F15" w:rsidP="00CA5F15">
      <w:pPr>
        <w:jc w:val="center"/>
        <w:rPr>
          <w:rFonts w:ascii="Arial" w:eastAsia="Calibri" w:hAnsi="Arial" w:cs="Arial"/>
          <w:sz w:val="22"/>
          <w:lang w:val="es-MX" w:eastAsia="en-US"/>
        </w:rPr>
      </w:pPr>
    </w:p>
    <w:p w14:paraId="4F6CC9FE" w14:textId="77777777" w:rsidR="00CA5F15" w:rsidRDefault="00CA5F15" w:rsidP="00CA5F15">
      <w:pPr>
        <w:jc w:val="center"/>
      </w:pPr>
      <w:r>
        <w:rPr>
          <w:rFonts w:ascii="Arial" w:eastAsia="Calibri" w:hAnsi="Arial" w:cs="Arial"/>
          <w:sz w:val="22"/>
          <w:szCs w:val="22"/>
          <w:lang w:val="es-MX" w:eastAsia="en-US"/>
        </w:rPr>
        <w:t>María Teresa Treviño Fernández</w:t>
      </w:r>
    </w:p>
    <w:p w14:paraId="1B8DE73F" w14:textId="77777777" w:rsidR="00CA5F15" w:rsidRDefault="00CA5F15" w:rsidP="00CA5F15">
      <w:pPr>
        <w:jc w:val="center"/>
      </w:pPr>
      <w:r>
        <w:rPr>
          <w:rFonts w:ascii="Arial" w:eastAsia="Calibri" w:hAnsi="Arial" w:cs="Arial"/>
          <w:b/>
          <w:sz w:val="22"/>
          <w:szCs w:val="22"/>
          <w:lang w:val="es-MX" w:eastAsia="en-US"/>
        </w:rPr>
        <w:t>Consejera Presidenta</w:t>
      </w:r>
    </w:p>
    <w:tbl>
      <w:tblPr>
        <w:tblW w:w="8554" w:type="dxa"/>
        <w:tblInd w:w="284" w:type="dxa"/>
        <w:tblCellMar>
          <w:left w:w="10" w:type="dxa"/>
          <w:right w:w="10" w:type="dxa"/>
        </w:tblCellMar>
        <w:tblLook w:val="0000" w:firstRow="0" w:lastRow="0" w:firstColumn="0" w:lastColumn="0" w:noHBand="0" w:noVBand="0"/>
      </w:tblPr>
      <w:tblGrid>
        <w:gridCol w:w="4312"/>
        <w:gridCol w:w="4242"/>
      </w:tblGrid>
      <w:tr w:rsidR="00CA5F15" w14:paraId="1C84A4FA" w14:textId="77777777" w:rsidTr="00304A44">
        <w:tc>
          <w:tcPr>
            <w:tcW w:w="4312" w:type="dxa"/>
            <w:shd w:val="clear" w:color="auto" w:fill="auto"/>
            <w:tcMar>
              <w:top w:w="0" w:type="dxa"/>
              <w:left w:w="108" w:type="dxa"/>
              <w:bottom w:w="0" w:type="dxa"/>
              <w:right w:w="108" w:type="dxa"/>
            </w:tcMar>
          </w:tcPr>
          <w:p w14:paraId="2DED2ACA" w14:textId="77777777" w:rsidR="00CA5F15" w:rsidRDefault="00CA5F15" w:rsidP="00304A44">
            <w:pPr>
              <w:jc w:val="center"/>
              <w:rPr>
                <w:rFonts w:ascii="Arial" w:eastAsia="Calibri" w:hAnsi="Arial" w:cs="Arial"/>
                <w:b/>
                <w:sz w:val="22"/>
                <w:szCs w:val="22"/>
                <w:lang w:val="es-MX" w:eastAsia="en-US"/>
              </w:rPr>
            </w:pPr>
          </w:p>
          <w:p w14:paraId="7E8F451F" w14:textId="77777777" w:rsidR="00CA5F15" w:rsidRDefault="00CA5F15" w:rsidP="00304A44">
            <w:pPr>
              <w:jc w:val="center"/>
              <w:rPr>
                <w:rFonts w:ascii="Arial" w:eastAsia="Calibri" w:hAnsi="Arial" w:cs="Arial"/>
                <w:b/>
                <w:sz w:val="22"/>
                <w:szCs w:val="22"/>
                <w:lang w:val="es-MX" w:eastAsia="en-US"/>
              </w:rPr>
            </w:pPr>
          </w:p>
          <w:p w14:paraId="595BA9E0" w14:textId="77777777" w:rsidR="00CA5F15" w:rsidRDefault="00CA5F15" w:rsidP="00304A44">
            <w:pPr>
              <w:jc w:val="center"/>
              <w:rPr>
                <w:rFonts w:ascii="Arial" w:eastAsia="Calibri" w:hAnsi="Arial" w:cs="Arial"/>
                <w:b/>
                <w:sz w:val="22"/>
                <w:szCs w:val="22"/>
                <w:lang w:val="es-MX" w:eastAsia="en-US"/>
              </w:rPr>
            </w:pPr>
          </w:p>
          <w:p w14:paraId="2C90DAB5" w14:textId="77777777" w:rsidR="00CA5F15" w:rsidRDefault="00CA5F15" w:rsidP="00304A44">
            <w:pPr>
              <w:jc w:val="center"/>
              <w:rPr>
                <w:rFonts w:ascii="Arial" w:eastAsia="Calibri" w:hAnsi="Arial" w:cs="Arial"/>
                <w:b/>
                <w:sz w:val="22"/>
                <w:szCs w:val="22"/>
                <w:lang w:val="es-MX" w:eastAsia="en-US"/>
              </w:rPr>
            </w:pPr>
          </w:p>
          <w:p w14:paraId="4C230D8C" w14:textId="77777777" w:rsidR="00CA5F15" w:rsidRDefault="00CA5F15" w:rsidP="00304A44">
            <w:pPr>
              <w:jc w:val="center"/>
              <w:rPr>
                <w:rFonts w:ascii="Arial" w:eastAsia="Calibri" w:hAnsi="Arial" w:cs="Arial"/>
                <w:b/>
                <w:sz w:val="22"/>
                <w:szCs w:val="22"/>
                <w:lang w:val="es-MX" w:eastAsia="en-US"/>
              </w:rPr>
            </w:pPr>
          </w:p>
          <w:p w14:paraId="77CB8BBF" w14:textId="77777777" w:rsidR="00CA5F15" w:rsidRDefault="00CA5F15" w:rsidP="00304A44">
            <w:pPr>
              <w:jc w:val="center"/>
              <w:rPr>
                <w:rFonts w:ascii="Arial" w:eastAsia="Calibri" w:hAnsi="Arial" w:cs="Arial"/>
                <w:sz w:val="22"/>
                <w:szCs w:val="22"/>
                <w:lang w:val="es-MX" w:eastAsia="en-US"/>
              </w:rPr>
            </w:pPr>
            <w:r>
              <w:rPr>
                <w:rFonts w:ascii="Arial" w:eastAsia="Calibri" w:hAnsi="Arial" w:cs="Arial"/>
                <w:sz w:val="22"/>
                <w:szCs w:val="22"/>
                <w:lang w:val="es-MX" w:eastAsia="en-US"/>
              </w:rPr>
              <w:t>Bernardo Sierra Gómez</w:t>
            </w:r>
          </w:p>
          <w:p w14:paraId="56BD2110" w14:textId="77777777" w:rsidR="00CA5F15" w:rsidRDefault="00CA5F15" w:rsidP="00304A44">
            <w:pPr>
              <w:jc w:val="center"/>
              <w:rPr>
                <w:rFonts w:ascii="Arial" w:eastAsia="Calibri" w:hAnsi="Arial" w:cs="Arial"/>
                <w:b/>
                <w:sz w:val="22"/>
                <w:szCs w:val="22"/>
                <w:lang w:val="es-MX" w:eastAsia="en-US"/>
              </w:rPr>
            </w:pPr>
            <w:r>
              <w:rPr>
                <w:rFonts w:ascii="Arial" w:eastAsia="Calibri" w:hAnsi="Arial" w:cs="Arial"/>
                <w:b/>
                <w:sz w:val="22"/>
                <w:szCs w:val="22"/>
                <w:lang w:val="es-MX" w:eastAsia="en-US"/>
              </w:rPr>
              <w:t>Consejero Vocal</w:t>
            </w:r>
          </w:p>
          <w:p w14:paraId="30AA3443" w14:textId="77777777" w:rsidR="00CA5F15" w:rsidRDefault="00CA5F15" w:rsidP="00304A44">
            <w:pPr>
              <w:jc w:val="center"/>
              <w:rPr>
                <w:rFonts w:ascii="Arial" w:eastAsia="Calibri" w:hAnsi="Arial" w:cs="Arial"/>
                <w:b/>
                <w:sz w:val="22"/>
                <w:szCs w:val="22"/>
                <w:lang w:val="es-MX" w:eastAsia="en-US"/>
              </w:rPr>
            </w:pPr>
          </w:p>
        </w:tc>
        <w:tc>
          <w:tcPr>
            <w:tcW w:w="4242" w:type="dxa"/>
            <w:shd w:val="clear" w:color="auto" w:fill="auto"/>
            <w:tcMar>
              <w:top w:w="0" w:type="dxa"/>
              <w:left w:w="108" w:type="dxa"/>
              <w:bottom w:w="0" w:type="dxa"/>
              <w:right w:w="108" w:type="dxa"/>
            </w:tcMar>
          </w:tcPr>
          <w:p w14:paraId="0CA3B2D4" w14:textId="77777777" w:rsidR="00CA5F15" w:rsidRDefault="00CA5F15" w:rsidP="00304A44">
            <w:pPr>
              <w:jc w:val="center"/>
              <w:rPr>
                <w:rFonts w:ascii="Arial" w:eastAsia="Calibri" w:hAnsi="Arial" w:cs="Arial"/>
                <w:b/>
                <w:sz w:val="22"/>
                <w:szCs w:val="22"/>
                <w:lang w:val="es-MX" w:eastAsia="en-US"/>
              </w:rPr>
            </w:pPr>
          </w:p>
          <w:p w14:paraId="7F10233D" w14:textId="77777777" w:rsidR="00CA5F15" w:rsidRDefault="00CA5F15" w:rsidP="00304A44">
            <w:pPr>
              <w:jc w:val="center"/>
              <w:rPr>
                <w:rFonts w:ascii="Arial" w:eastAsia="Calibri" w:hAnsi="Arial" w:cs="Arial"/>
                <w:b/>
                <w:sz w:val="22"/>
                <w:szCs w:val="22"/>
                <w:lang w:val="es-MX" w:eastAsia="en-US"/>
              </w:rPr>
            </w:pPr>
          </w:p>
          <w:p w14:paraId="2924CC27" w14:textId="77777777" w:rsidR="00CA5F15" w:rsidRDefault="00CA5F15" w:rsidP="00304A44">
            <w:pPr>
              <w:jc w:val="center"/>
              <w:rPr>
                <w:rFonts w:ascii="Arial" w:eastAsia="Calibri" w:hAnsi="Arial" w:cs="Arial"/>
                <w:b/>
                <w:sz w:val="22"/>
                <w:szCs w:val="22"/>
                <w:lang w:val="es-MX" w:eastAsia="en-US"/>
              </w:rPr>
            </w:pPr>
          </w:p>
          <w:p w14:paraId="03B8CAB7" w14:textId="77777777" w:rsidR="00CA5F15" w:rsidRDefault="00CA5F15" w:rsidP="00304A44">
            <w:pPr>
              <w:jc w:val="center"/>
              <w:rPr>
                <w:rFonts w:ascii="Arial" w:eastAsia="Calibri" w:hAnsi="Arial" w:cs="Arial"/>
                <w:sz w:val="22"/>
                <w:szCs w:val="22"/>
                <w:lang w:val="es-MX" w:eastAsia="en-US"/>
              </w:rPr>
            </w:pPr>
          </w:p>
          <w:p w14:paraId="63457A16" w14:textId="77777777" w:rsidR="00CA5F15" w:rsidRDefault="00CA5F15" w:rsidP="00304A44">
            <w:pPr>
              <w:jc w:val="center"/>
              <w:rPr>
                <w:rFonts w:ascii="Arial" w:eastAsia="Calibri" w:hAnsi="Arial" w:cs="Arial"/>
                <w:sz w:val="22"/>
                <w:szCs w:val="22"/>
                <w:lang w:val="es-MX" w:eastAsia="en-US"/>
              </w:rPr>
            </w:pPr>
          </w:p>
          <w:p w14:paraId="7B699340" w14:textId="77777777" w:rsidR="00CA5F15" w:rsidRDefault="00CA5F15" w:rsidP="00304A44">
            <w:pPr>
              <w:jc w:val="center"/>
              <w:rPr>
                <w:rFonts w:ascii="Arial" w:eastAsia="Calibri" w:hAnsi="Arial" w:cs="Arial"/>
                <w:sz w:val="22"/>
                <w:szCs w:val="22"/>
                <w:lang w:val="es-MX" w:eastAsia="en-US"/>
              </w:rPr>
            </w:pPr>
            <w:r>
              <w:rPr>
                <w:rFonts w:ascii="Arial" w:eastAsia="Calibri" w:hAnsi="Arial" w:cs="Arial"/>
                <w:sz w:val="22"/>
                <w:szCs w:val="22"/>
                <w:lang w:val="es-MX" w:eastAsia="en-US"/>
              </w:rPr>
              <w:t>María de los Ángeles Guzmán García</w:t>
            </w:r>
          </w:p>
          <w:p w14:paraId="1C4308B8" w14:textId="77777777" w:rsidR="00CA5F15" w:rsidRDefault="00CA5F15" w:rsidP="00304A44">
            <w:pPr>
              <w:jc w:val="center"/>
              <w:rPr>
                <w:rFonts w:ascii="Arial" w:eastAsia="Calibri" w:hAnsi="Arial" w:cs="Arial"/>
                <w:b/>
                <w:sz w:val="22"/>
                <w:szCs w:val="22"/>
                <w:lang w:val="es-MX" w:eastAsia="en-US"/>
              </w:rPr>
            </w:pPr>
            <w:r>
              <w:rPr>
                <w:rFonts w:ascii="Arial" w:eastAsia="Calibri" w:hAnsi="Arial" w:cs="Arial"/>
                <w:b/>
                <w:sz w:val="22"/>
                <w:szCs w:val="22"/>
                <w:lang w:val="es-MX" w:eastAsia="en-US"/>
              </w:rPr>
              <w:t>Consejera Vocal</w:t>
            </w:r>
          </w:p>
          <w:p w14:paraId="52B24818" w14:textId="77777777" w:rsidR="00CA5F15" w:rsidRDefault="00CA5F15" w:rsidP="00304A44">
            <w:pPr>
              <w:jc w:val="center"/>
              <w:rPr>
                <w:rFonts w:ascii="Arial" w:eastAsia="Calibri" w:hAnsi="Arial" w:cs="Arial"/>
                <w:b/>
                <w:sz w:val="22"/>
                <w:szCs w:val="22"/>
                <w:lang w:val="es-MX" w:eastAsia="en-US"/>
              </w:rPr>
            </w:pPr>
          </w:p>
        </w:tc>
      </w:tr>
      <w:tr w:rsidR="00CA5F15" w14:paraId="12B81C22" w14:textId="77777777" w:rsidTr="00304A44">
        <w:tc>
          <w:tcPr>
            <w:tcW w:w="4312" w:type="dxa"/>
            <w:shd w:val="clear" w:color="auto" w:fill="auto"/>
            <w:tcMar>
              <w:top w:w="0" w:type="dxa"/>
              <w:left w:w="108" w:type="dxa"/>
              <w:bottom w:w="0" w:type="dxa"/>
              <w:right w:w="108" w:type="dxa"/>
            </w:tcMar>
          </w:tcPr>
          <w:p w14:paraId="27B9BFA6" w14:textId="77777777" w:rsidR="00CA5F15" w:rsidRDefault="00CA5F15" w:rsidP="00304A44">
            <w:pPr>
              <w:jc w:val="center"/>
              <w:rPr>
                <w:rFonts w:ascii="Arial" w:eastAsia="Calibri" w:hAnsi="Arial" w:cs="Arial"/>
                <w:b/>
                <w:sz w:val="22"/>
                <w:szCs w:val="22"/>
                <w:lang w:val="es-MX" w:eastAsia="en-US"/>
              </w:rPr>
            </w:pPr>
          </w:p>
          <w:p w14:paraId="1BF9F8F5" w14:textId="77777777" w:rsidR="00CA5F15" w:rsidRDefault="00CA5F15" w:rsidP="00304A44">
            <w:pPr>
              <w:jc w:val="center"/>
              <w:rPr>
                <w:rFonts w:ascii="Arial" w:eastAsia="Calibri" w:hAnsi="Arial" w:cs="Arial"/>
                <w:b/>
                <w:sz w:val="22"/>
                <w:szCs w:val="22"/>
                <w:lang w:val="es-MX" w:eastAsia="en-US"/>
              </w:rPr>
            </w:pPr>
          </w:p>
          <w:p w14:paraId="5FD08493" w14:textId="77777777" w:rsidR="00CA5F15" w:rsidRDefault="00CA5F15" w:rsidP="00304A44">
            <w:pPr>
              <w:jc w:val="center"/>
              <w:rPr>
                <w:rFonts w:ascii="Arial" w:eastAsia="Calibri" w:hAnsi="Arial" w:cs="Arial"/>
                <w:b/>
                <w:sz w:val="22"/>
                <w:szCs w:val="22"/>
                <w:lang w:val="es-MX" w:eastAsia="en-US"/>
              </w:rPr>
            </w:pPr>
          </w:p>
          <w:p w14:paraId="5D7AF6BC" w14:textId="77777777" w:rsidR="00CA5F15" w:rsidRDefault="00CA5F15" w:rsidP="00304A44">
            <w:pPr>
              <w:jc w:val="center"/>
              <w:rPr>
                <w:rFonts w:ascii="Arial" w:eastAsia="Calibri" w:hAnsi="Arial" w:cs="Arial"/>
                <w:b/>
                <w:sz w:val="22"/>
                <w:szCs w:val="22"/>
                <w:lang w:val="es-MX" w:eastAsia="en-US"/>
              </w:rPr>
            </w:pPr>
          </w:p>
          <w:p w14:paraId="51586363" w14:textId="77777777" w:rsidR="00CA5F15" w:rsidRDefault="00CA5F15" w:rsidP="00304A44">
            <w:pPr>
              <w:jc w:val="center"/>
              <w:rPr>
                <w:rFonts w:ascii="Arial" w:eastAsia="Calibri" w:hAnsi="Arial" w:cs="Arial"/>
                <w:b/>
                <w:sz w:val="22"/>
                <w:szCs w:val="22"/>
                <w:lang w:val="es-MX" w:eastAsia="en-US"/>
              </w:rPr>
            </w:pPr>
          </w:p>
          <w:p w14:paraId="46E9A5AE" w14:textId="77777777" w:rsidR="00CA5F15" w:rsidRDefault="00CA5F15" w:rsidP="00304A44">
            <w:pPr>
              <w:jc w:val="center"/>
            </w:pPr>
            <w:r>
              <w:rPr>
                <w:rFonts w:ascii="Arial" w:eastAsia="Calibri" w:hAnsi="Arial" w:cs="Arial"/>
                <w:sz w:val="22"/>
                <w:szCs w:val="22"/>
                <w:lang w:val="es-MX" w:eastAsia="en-US"/>
              </w:rPr>
              <w:t>Francisco Reynaldo Guajardo Martínez</w:t>
            </w:r>
          </w:p>
          <w:p w14:paraId="0C85E073" w14:textId="77777777" w:rsidR="00CA5F15" w:rsidRDefault="00CA5F15" w:rsidP="00304A44">
            <w:pPr>
              <w:jc w:val="center"/>
              <w:rPr>
                <w:rFonts w:ascii="Arial" w:eastAsia="Calibri" w:hAnsi="Arial" w:cs="Arial"/>
                <w:b/>
                <w:sz w:val="22"/>
                <w:szCs w:val="22"/>
                <w:lang w:val="es-MX" w:eastAsia="en-US"/>
              </w:rPr>
            </w:pPr>
            <w:r>
              <w:rPr>
                <w:rFonts w:ascii="Arial" w:eastAsia="Calibri" w:hAnsi="Arial" w:cs="Arial"/>
                <w:b/>
                <w:sz w:val="22"/>
                <w:szCs w:val="22"/>
                <w:lang w:val="es-MX" w:eastAsia="en-US"/>
              </w:rPr>
              <w:t>Consejero Vocal</w:t>
            </w:r>
          </w:p>
        </w:tc>
        <w:tc>
          <w:tcPr>
            <w:tcW w:w="4242" w:type="dxa"/>
            <w:shd w:val="clear" w:color="auto" w:fill="auto"/>
            <w:tcMar>
              <w:top w:w="0" w:type="dxa"/>
              <w:left w:w="108" w:type="dxa"/>
              <w:bottom w:w="0" w:type="dxa"/>
              <w:right w:w="108" w:type="dxa"/>
            </w:tcMar>
          </w:tcPr>
          <w:p w14:paraId="07006643" w14:textId="77777777" w:rsidR="00CA5F15" w:rsidRDefault="00CA5F15" w:rsidP="00304A44">
            <w:pPr>
              <w:jc w:val="center"/>
              <w:rPr>
                <w:rFonts w:ascii="Arial" w:eastAsia="Calibri" w:hAnsi="Arial" w:cs="Arial"/>
                <w:b/>
                <w:sz w:val="22"/>
                <w:szCs w:val="22"/>
                <w:lang w:val="pt-PT" w:eastAsia="en-US"/>
              </w:rPr>
            </w:pPr>
          </w:p>
          <w:p w14:paraId="355FBA95" w14:textId="77777777" w:rsidR="00CA5F15" w:rsidRDefault="00CA5F15" w:rsidP="00304A44">
            <w:pPr>
              <w:jc w:val="center"/>
              <w:rPr>
                <w:rFonts w:ascii="Arial" w:eastAsia="Calibri" w:hAnsi="Arial" w:cs="Arial"/>
                <w:b/>
                <w:sz w:val="22"/>
                <w:szCs w:val="22"/>
                <w:lang w:val="pt-PT" w:eastAsia="en-US"/>
              </w:rPr>
            </w:pPr>
          </w:p>
          <w:p w14:paraId="3485C058" w14:textId="77777777" w:rsidR="00CA5F15" w:rsidRDefault="00CA5F15" w:rsidP="00304A44">
            <w:pPr>
              <w:jc w:val="center"/>
              <w:rPr>
                <w:rFonts w:ascii="Arial" w:eastAsia="Calibri" w:hAnsi="Arial" w:cs="Arial"/>
                <w:b/>
                <w:sz w:val="22"/>
                <w:szCs w:val="22"/>
                <w:lang w:val="pt-PT" w:eastAsia="en-US"/>
              </w:rPr>
            </w:pPr>
          </w:p>
          <w:p w14:paraId="0A30BE1F" w14:textId="77777777" w:rsidR="00CA5F15" w:rsidRDefault="00CA5F15" w:rsidP="00304A44">
            <w:pPr>
              <w:jc w:val="center"/>
              <w:rPr>
                <w:rFonts w:ascii="Arial" w:eastAsia="Calibri" w:hAnsi="Arial" w:cs="Arial"/>
                <w:b/>
                <w:sz w:val="22"/>
                <w:szCs w:val="22"/>
                <w:lang w:val="pt-PT" w:eastAsia="en-US"/>
              </w:rPr>
            </w:pPr>
          </w:p>
          <w:p w14:paraId="0AFA700D" w14:textId="77777777" w:rsidR="00CA5F15" w:rsidRDefault="00CA5F15" w:rsidP="00304A44">
            <w:pPr>
              <w:jc w:val="center"/>
              <w:rPr>
                <w:rFonts w:ascii="Arial" w:eastAsia="Calibri" w:hAnsi="Arial" w:cs="Arial"/>
                <w:b/>
                <w:sz w:val="22"/>
                <w:szCs w:val="22"/>
                <w:lang w:val="pt-PT" w:eastAsia="en-US"/>
              </w:rPr>
            </w:pPr>
          </w:p>
          <w:p w14:paraId="44A94C75" w14:textId="77777777" w:rsidR="00CA5F15" w:rsidRDefault="00CA5F15" w:rsidP="00304A44">
            <w:pPr>
              <w:autoSpaceDE w:val="0"/>
              <w:ind w:right="49"/>
              <w:jc w:val="center"/>
            </w:pPr>
            <w:r>
              <w:rPr>
                <w:rFonts w:ascii="Arial" w:hAnsi="Arial" w:cs="Arial"/>
                <w:sz w:val="22"/>
                <w:szCs w:val="22"/>
              </w:rPr>
              <w:t>Brenda Lizeth González Lara</w:t>
            </w:r>
          </w:p>
          <w:p w14:paraId="2DE70503" w14:textId="77777777" w:rsidR="00CA5F15" w:rsidRDefault="00CA5F15" w:rsidP="00304A44">
            <w:pPr>
              <w:jc w:val="center"/>
            </w:pPr>
            <w:r>
              <w:rPr>
                <w:rFonts w:ascii="Arial" w:eastAsia="Calibri" w:hAnsi="Arial" w:cs="Arial"/>
                <w:b/>
                <w:sz w:val="22"/>
                <w:szCs w:val="22"/>
                <w:lang w:val="es-MX" w:eastAsia="en-US"/>
              </w:rPr>
              <w:t>Consejera</w:t>
            </w:r>
            <w:r>
              <w:rPr>
                <w:rFonts w:ascii="Arial" w:hAnsi="Arial" w:cs="Arial"/>
                <w:b/>
                <w:bCs/>
                <w:sz w:val="22"/>
                <w:szCs w:val="22"/>
              </w:rPr>
              <w:t xml:space="preserve"> Vocal</w:t>
            </w:r>
          </w:p>
        </w:tc>
      </w:tr>
    </w:tbl>
    <w:p w14:paraId="3C1C083D" w14:textId="77777777" w:rsidR="00CA5F15" w:rsidRDefault="00CA5F15" w:rsidP="00CA5F15">
      <w:pPr>
        <w:rPr>
          <w:rFonts w:ascii="Arial" w:eastAsia="Calibri" w:hAnsi="Arial" w:cs="Arial"/>
          <w:b/>
          <w:sz w:val="22"/>
          <w:lang w:val="es-MX" w:eastAsia="en-US"/>
        </w:rPr>
      </w:pPr>
    </w:p>
    <w:p w14:paraId="5F07B493" w14:textId="58539067" w:rsidR="00645367" w:rsidRDefault="00645367" w:rsidP="00CA5F15"/>
    <w:p w14:paraId="18D7B535" w14:textId="264F7A69" w:rsidR="00977571" w:rsidRDefault="00977571" w:rsidP="00CA5F15"/>
    <w:p w14:paraId="5217E4E9" w14:textId="79B5A585" w:rsidR="00977571" w:rsidRDefault="00977571" w:rsidP="00CA5F15"/>
    <w:p w14:paraId="489BC837" w14:textId="149DC736" w:rsidR="00977571" w:rsidRDefault="00977571" w:rsidP="00CA5F15"/>
    <w:p w14:paraId="03F00DB4" w14:textId="2B4A76E0" w:rsidR="00977571" w:rsidRDefault="00977571" w:rsidP="00CA5F15"/>
    <w:p w14:paraId="62BF49F6" w14:textId="5F85535C" w:rsidR="00977571" w:rsidRDefault="00977571" w:rsidP="00CA5F15"/>
    <w:p w14:paraId="18DBC6F7" w14:textId="426CC3B4" w:rsidR="00977571" w:rsidRDefault="00977571" w:rsidP="00CA5F15"/>
    <w:p w14:paraId="619C9F4A" w14:textId="5097BDFC" w:rsidR="00977571" w:rsidRDefault="00977571" w:rsidP="00CA5F15"/>
    <w:p w14:paraId="68606029" w14:textId="5455E926" w:rsidR="00977571" w:rsidRDefault="00977571" w:rsidP="00CA5F15"/>
    <w:p w14:paraId="7EDE31FD" w14:textId="2D30B949" w:rsidR="00977571" w:rsidRDefault="00977571" w:rsidP="00CA5F15"/>
    <w:p w14:paraId="41410175" w14:textId="75E1BA78" w:rsidR="00977571" w:rsidRDefault="00977571" w:rsidP="00CA5F15"/>
    <w:p w14:paraId="6FBB8D0B" w14:textId="091EDE27" w:rsidR="00977571" w:rsidRDefault="00977571" w:rsidP="00CA5F15"/>
    <w:p w14:paraId="003D3B17" w14:textId="48108851" w:rsidR="00977571" w:rsidRDefault="00977571" w:rsidP="00CA5F15"/>
    <w:p w14:paraId="3D4A76A6" w14:textId="6CB6A3C1" w:rsidR="00977571" w:rsidRDefault="00977571" w:rsidP="00CA5F15"/>
    <w:p w14:paraId="35B52112" w14:textId="00C2700E" w:rsidR="00977571" w:rsidRDefault="00977571" w:rsidP="00CA5F15"/>
    <w:p w14:paraId="3E518B9F" w14:textId="596637FD" w:rsidR="00977571" w:rsidRDefault="00977571" w:rsidP="00CA5F15"/>
    <w:p w14:paraId="417ED96D" w14:textId="3A67EF62" w:rsidR="00977571" w:rsidRDefault="00977571" w:rsidP="00CA5F15"/>
    <w:p w14:paraId="405752B3" w14:textId="710C7D88" w:rsidR="00977571" w:rsidRDefault="00977571" w:rsidP="00CA5F15"/>
    <w:p w14:paraId="0738C8D0" w14:textId="287C9786" w:rsidR="00977571" w:rsidRDefault="00977571" w:rsidP="00CA5F15"/>
    <w:p w14:paraId="4ECDBFDA" w14:textId="77777777" w:rsidR="00977571" w:rsidRDefault="00977571" w:rsidP="00CA5F15"/>
    <w:p w14:paraId="51EC994D" w14:textId="7CC21222" w:rsidR="00977571" w:rsidRDefault="00977571" w:rsidP="00CA5F15"/>
    <w:p w14:paraId="4AFA473B" w14:textId="68B6A64E" w:rsidR="00977571" w:rsidRDefault="00977571" w:rsidP="00977571">
      <w:pPr>
        <w:pStyle w:val="texto"/>
        <w:spacing w:after="0" w:line="240" w:lineRule="auto"/>
        <w:ind w:firstLine="0"/>
      </w:pPr>
      <w:r>
        <w:rPr>
          <w:rFonts w:cs="Arial"/>
          <w:bCs/>
          <w:i/>
          <w:color w:val="000000"/>
          <w:sz w:val="16"/>
          <w:szCs w:val="16"/>
        </w:rPr>
        <w:t>LA PRESENTE HOJA DE FIRMAS FORMA PARTE INTEGRAL DEL</w:t>
      </w:r>
      <w:r>
        <w:rPr>
          <w:rFonts w:cs="Arial"/>
          <w:b/>
          <w:sz w:val="16"/>
          <w:szCs w:val="16"/>
          <w:lang w:val="es-MX"/>
        </w:rPr>
        <w:t xml:space="preserve"> </w:t>
      </w:r>
      <w:r w:rsidRPr="00977571">
        <w:rPr>
          <w:rFonts w:cs="Arial"/>
          <w:bCs/>
          <w:i/>
          <w:color w:val="000000"/>
          <w:sz w:val="16"/>
          <w:szCs w:val="16"/>
        </w:rPr>
        <w:t>PROGRAMA ANUAL DE VERIFICACIÓN Y VIGILANCIA DEL INSTITUTO ESTATAL DE TRANSPARENCIA, ACCESO A LA INFORMACIÓN Y PROTECCIÓN DE DATOS PERSONALES PARA EL AÑO 2023</w:t>
      </w:r>
      <w:r>
        <w:rPr>
          <w:rFonts w:cs="Arial"/>
          <w:bCs/>
          <w:i/>
          <w:color w:val="000000"/>
          <w:sz w:val="16"/>
          <w:szCs w:val="16"/>
        </w:rPr>
        <w:t>,</w:t>
      </w:r>
      <w:r>
        <w:rPr>
          <w:rFonts w:cs="Arial"/>
          <w:b/>
          <w:color w:val="FF0000"/>
          <w:sz w:val="16"/>
          <w:szCs w:val="16"/>
        </w:rPr>
        <w:t xml:space="preserve"> </w:t>
      </w:r>
      <w:r>
        <w:rPr>
          <w:rFonts w:cs="Arial"/>
          <w:bCs/>
          <w:i/>
          <w:color w:val="000000"/>
          <w:sz w:val="16"/>
          <w:szCs w:val="16"/>
        </w:rPr>
        <w:t>APROBADO EL 19 DE ABRIL DE 2023 Y QUE VA DE 07 PÁGINAS.</w:t>
      </w:r>
    </w:p>
    <w:p w14:paraId="3C3EA986" w14:textId="77777777" w:rsidR="00977571" w:rsidRPr="00CA5F15" w:rsidRDefault="00977571" w:rsidP="00CA5F15"/>
    <w:sectPr w:rsidR="00977571" w:rsidRPr="00CA5F15">
      <w:headerReference w:type="default" r:id="rId7"/>
      <w:footerReference w:type="default" r:id="rId8"/>
      <w:pgSz w:w="12240" w:h="15840"/>
      <w:pgMar w:top="3119" w:right="1418" w:bottom="1418" w:left="1701" w:header="720" w:footer="13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2B256" w14:textId="77777777" w:rsidR="004A3ECE" w:rsidRDefault="004A3ECE">
      <w:r>
        <w:separator/>
      </w:r>
    </w:p>
  </w:endnote>
  <w:endnote w:type="continuationSeparator" w:id="0">
    <w:p w14:paraId="5EE77F75" w14:textId="77777777" w:rsidR="004A3ECE" w:rsidRDefault="004A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71436" w14:textId="77777777" w:rsidR="00CE42A3" w:rsidRDefault="00B24E58">
    <w:pPr>
      <w:pStyle w:val="Piedepgina"/>
      <w:jc w:val="right"/>
      <w:rPr>
        <w:rFonts w:ascii="Arial" w:hAnsi="Arial" w:cs="Arial"/>
        <w:b/>
        <w:bCs/>
        <w:sz w:val="20"/>
        <w:szCs w:val="20"/>
      </w:rPr>
    </w:pPr>
    <w:r>
      <w:rPr>
        <w:rFonts w:ascii="Arial" w:hAnsi="Arial" w:cs="Arial"/>
        <w:sz w:val="20"/>
        <w:szCs w:val="20"/>
      </w:rPr>
      <w:t xml:space="preserve">Página </w:t>
    </w:r>
    <w:r>
      <w:rPr>
        <w:rFonts w:ascii="Arial" w:hAnsi="Arial" w:cs="Arial"/>
        <w:b/>
        <w:bCs/>
        <w:sz w:val="20"/>
        <w:szCs w:val="20"/>
      </w:rPr>
      <w:fldChar w:fldCharType="begin"/>
    </w:r>
    <w:r>
      <w:rPr>
        <w:rFonts w:ascii="Arial" w:hAnsi="Arial" w:cs="Arial"/>
        <w:b/>
        <w:bCs/>
        <w:sz w:val="20"/>
        <w:szCs w:val="20"/>
      </w:rPr>
      <w:instrText xml:space="preserve"> PAGE </w:instrText>
    </w:r>
    <w:r>
      <w:rPr>
        <w:rFonts w:ascii="Arial" w:hAnsi="Arial" w:cs="Arial"/>
        <w:b/>
        <w:bCs/>
        <w:sz w:val="20"/>
        <w:szCs w:val="20"/>
      </w:rPr>
      <w:fldChar w:fldCharType="separate"/>
    </w:r>
    <w:r w:rsidR="00E10D45">
      <w:rPr>
        <w:rFonts w:ascii="Arial" w:hAnsi="Arial" w:cs="Arial"/>
        <w:b/>
        <w:bCs/>
        <w:noProof/>
        <w:sz w:val="20"/>
        <w:szCs w:val="20"/>
      </w:rPr>
      <w:t>1</w:t>
    </w:r>
    <w:r>
      <w:rPr>
        <w:rFonts w:ascii="Arial" w:hAnsi="Arial" w:cs="Arial"/>
        <w:b/>
        <w:bCs/>
        <w:sz w:val="20"/>
        <w:szCs w:val="20"/>
      </w:rPr>
      <w:fldChar w:fldCharType="end"/>
    </w:r>
    <w:r>
      <w:rPr>
        <w:rFonts w:ascii="Arial" w:hAnsi="Arial" w:cs="Arial"/>
        <w:sz w:val="20"/>
        <w:szCs w:val="20"/>
      </w:rPr>
      <w:t xml:space="preserve"> de </w:t>
    </w:r>
    <w:r>
      <w:rPr>
        <w:rFonts w:ascii="Arial" w:hAnsi="Arial" w:cs="Arial"/>
        <w:b/>
        <w:bCs/>
        <w:sz w:val="20"/>
        <w:szCs w:val="20"/>
      </w:rPr>
      <w:fldChar w:fldCharType="begin"/>
    </w:r>
    <w:r>
      <w:rPr>
        <w:rFonts w:ascii="Arial" w:hAnsi="Arial" w:cs="Arial"/>
        <w:b/>
        <w:bCs/>
        <w:sz w:val="20"/>
        <w:szCs w:val="20"/>
      </w:rPr>
      <w:instrText xml:space="preserve"> NUMPAGES </w:instrText>
    </w:r>
    <w:r>
      <w:rPr>
        <w:rFonts w:ascii="Arial" w:hAnsi="Arial" w:cs="Arial"/>
        <w:b/>
        <w:bCs/>
        <w:sz w:val="20"/>
        <w:szCs w:val="20"/>
      </w:rPr>
      <w:fldChar w:fldCharType="separate"/>
    </w:r>
    <w:r w:rsidR="00E10D45">
      <w:rPr>
        <w:rFonts w:ascii="Arial" w:hAnsi="Arial" w:cs="Arial"/>
        <w:b/>
        <w:bCs/>
        <w:noProof/>
        <w:sz w:val="20"/>
        <w:szCs w:val="20"/>
      </w:rPr>
      <w:t>1</w:t>
    </w:r>
    <w:r>
      <w:rPr>
        <w:rFonts w:ascii="Arial" w:hAnsi="Arial" w:cs="Arial"/>
        <w:b/>
        <w:bCs/>
        <w:sz w:val="20"/>
        <w:szCs w:val="20"/>
      </w:rPr>
      <w:fldChar w:fldCharType="end"/>
    </w:r>
  </w:p>
  <w:p w14:paraId="244F3AB4" w14:textId="77777777" w:rsidR="00B24E58" w:rsidRDefault="00B24E58">
    <w:pPr>
      <w:pStyle w:val="Piedepgina"/>
      <w:jc w:val="right"/>
    </w:pPr>
  </w:p>
  <w:p w14:paraId="0E8BD220" w14:textId="77777777" w:rsidR="00CE42A3" w:rsidRDefault="004A3E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38A64" w14:textId="77777777" w:rsidR="004A3ECE" w:rsidRDefault="004A3ECE">
      <w:r>
        <w:rPr>
          <w:color w:val="000000"/>
        </w:rPr>
        <w:separator/>
      </w:r>
    </w:p>
  </w:footnote>
  <w:footnote w:type="continuationSeparator" w:id="0">
    <w:p w14:paraId="527A5610" w14:textId="77777777" w:rsidR="004A3ECE" w:rsidRDefault="004A3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50792" w14:textId="77777777" w:rsidR="00CE42A3" w:rsidRDefault="00B24E58">
    <w:pPr>
      <w:pStyle w:val="Encabezado"/>
    </w:pPr>
    <w:r>
      <w:rPr>
        <w:noProof/>
        <w:lang w:val="es-MX" w:eastAsia="es-MX"/>
      </w:rPr>
      <w:drawing>
        <wp:anchor distT="0" distB="0" distL="114300" distR="114300" simplePos="0" relativeHeight="251658240" behindDoc="1" locked="0" layoutInCell="1" allowOverlap="1" wp14:anchorId="030CD0BB" wp14:editId="1D8FA65F">
          <wp:simplePos x="0" y="0"/>
          <wp:positionH relativeFrom="column">
            <wp:posOffset>-1071880</wp:posOffset>
          </wp:positionH>
          <wp:positionV relativeFrom="paragraph">
            <wp:posOffset>-450850</wp:posOffset>
          </wp:positionV>
          <wp:extent cx="7757558" cy="100393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NFONL_Mesa de trabaj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7558" cy="10039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F3C2F"/>
    <w:multiLevelType w:val="multilevel"/>
    <w:tmpl w:val="525AD76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4F3A68"/>
    <w:multiLevelType w:val="multilevel"/>
    <w:tmpl w:val="DB2E15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0713C4"/>
    <w:multiLevelType w:val="multilevel"/>
    <w:tmpl w:val="EA9AB5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17314C3"/>
    <w:multiLevelType w:val="multilevel"/>
    <w:tmpl w:val="72407A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05B7D70"/>
    <w:multiLevelType w:val="multilevel"/>
    <w:tmpl w:val="2C9CA764"/>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 w15:restartNumberingAfterBreak="0">
    <w:nsid w:val="7FFD6FEC"/>
    <w:multiLevelType w:val="multilevel"/>
    <w:tmpl w:val="F81AB292"/>
    <w:lvl w:ilvl="0">
      <w:start w:val="1"/>
      <w:numFmt w:val="lowerLetter"/>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367"/>
    <w:rsid w:val="00077423"/>
    <w:rsid w:val="000A6641"/>
    <w:rsid w:val="00120FE8"/>
    <w:rsid w:val="001A6692"/>
    <w:rsid w:val="001C730B"/>
    <w:rsid w:val="00255D5A"/>
    <w:rsid w:val="002D38CF"/>
    <w:rsid w:val="004034B4"/>
    <w:rsid w:val="004277A2"/>
    <w:rsid w:val="00475879"/>
    <w:rsid w:val="004A17BD"/>
    <w:rsid w:val="004A3ECE"/>
    <w:rsid w:val="0059660C"/>
    <w:rsid w:val="00645367"/>
    <w:rsid w:val="006B6490"/>
    <w:rsid w:val="008A01FC"/>
    <w:rsid w:val="00954959"/>
    <w:rsid w:val="00977571"/>
    <w:rsid w:val="00A03A55"/>
    <w:rsid w:val="00B24E58"/>
    <w:rsid w:val="00B77951"/>
    <w:rsid w:val="00BD2ACB"/>
    <w:rsid w:val="00C940D1"/>
    <w:rsid w:val="00C95AF1"/>
    <w:rsid w:val="00CA5F15"/>
    <w:rsid w:val="00D60FB3"/>
    <w:rsid w:val="00E10D45"/>
    <w:rsid w:val="00E35C79"/>
    <w:rsid w:val="00E402BD"/>
    <w:rsid w:val="00F00C3F"/>
    <w:rsid w:val="00F92388"/>
    <w:rsid w:val="00FC34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E96D7"/>
  <w15:docId w15:val="{A65D0933-ACF4-43F6-BD49-C7A715C3E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Arial" w:hAnsi="Arial" w:cs="Arial"/>
      <w:b/>
      <w:szCs w:val="22"/>
      <w:lang w:val="es-ES_tradnl"/>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Prrafodelista">
    <w:name w:val="List Paragraph"/>
    <w:basedOn w:val="Normal"/>
    <w:qFormat/>
    <w:pPr>
      <w:spacing w:after="200" w:line="276" w:lineRule="auto"/>
      <w:ind w:left="720"/>
    </w:pPr>
    <w:rPr>
      <w:rFonts w:ascii="Calibri" w:eastAsia="Calibri" w:hAnsi="Calibri"/>
      <w:sz w:val="22"/>
      <w:szCs w:val="22"/>
      <w:lang w:eastAsia="en-US"/>
    </w:rPr>
  </w:style>
  <w:style w:type="character" w:styleId="nfasis">
    <w:name w:val="Emphasis"/>
    <w:rPr>
      <w:i/>
      <w:iCs/>
    </w:rPr>
  </w:style>
  <w:style w:type="character" w:customStyle="1" w:styleId="PiedepginaCar">
    <w:name w:val="Pie de página Car"/>
    <w:rPr>
      <w:sz w:val="24"/>
      <w:szCs w:val="24"/>
      <w:lang w:val="es-ES" w:eastAsia="es-ES"/>
    </w:rPr>
  </w:style>
  <w:style w:type="character" w:styleId="Refdecomentario">
    <w:name w:val="annotation reference"/>
    <w:rPr>
      <w:sz w:val="16"/>
      <w:szCs w:val="16"/>
    </w:rPr>
  </w:style>
  <w:style w:type="paragraph" w:styleId="Textocomentario">
    <w:name w:val="annotation text"/>
    <w:basedOn w:val="Normal"/>
    <w:rPr>
      <w:sz w:val="20"/>
      <w:szCs w:val="20"/>
    </w:rPr>
  </w:style>
  <w:style w:type="character" w:customStyle="1" w:styleId="TextocomentarioCar">
    <w:name w:val="Texto comentario Car"/>
    <w:rPr>
      <w:lang w:val="es-ES" w:eastAsia="es-ES"/>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lang w:val="es-ES" w:eastAsia="es-ES"/>
    </w:rPr>
  </w:style>
  <w:style w:type="paragraph" w:styleId="Textodeglobo">
    <w:name w:val="Balloon Text"/>
    <w:basedOn w:val="Normal"/>
    <w:rPr>
      <w:rFonts w:ascii="Segoe UI" w:hAnsi="Segoe UI"/>
      <w:sz w:val="18"/>
      <w:szCs w:val="18"/>
    </w:rPr>
  </w:style>
  <w:style w:type="character" w:customStyle="1" w:styleId="TextodegloboCar">
    <w:name w:val="Texto de globo Car"/>
    <w:rPr>
      <w:rFonts w:ascii="Segoe UI" w:hAnsi="Segoe UI" w:cs="Segoe UI"/>
      <w:sz w:val="18"/>
      <w:szCs w:val="18"/>
      <w:lang w:val="es-ES" w:eastAsia="es-ES"/>
    </w:rPr>
  </w:style>
  <w:style w:type="paragraph" w:styleId="NormalWeb">
    <w:name w:val="Normal (Web)"/>
    <w:basedOn w:val="Normal"/>
    <w:pPr>
      <w:spacing w:before="100" w:after="100"/>
    </w:pPr>
    <w:rPr>
      <w:lang w:val="es-MX" w:eastAsia="es-MX"/>
    </w:rPr>
  </w:style>
  <w:style w:type="paragraph" w:styleId="Sangra2detindependiente">
    <w:name w:val="Body Text Indent 2"/>
    <w:basedOn w:val="Normal"/>
    <w:pPr>
      <w:spacing w:after="120" w:line="480" w:lineRule="auto"/>
      <w:ind w:left="283"/>
    </w:pPr>
  </w:style>
  <w:style w:type="character" w:customStyle="1" w:styleId="Sangra2detindependienteCar">
    <w:name w:val="Sangría 2 de t. independiente Car"/>
    <w:rPr>
      <w:sz w:val="24"/>
      <w:szCs w:val="24"/>
      <w:lang w:val="es-ES" w:eastAsia="es-ES"/>
    </w:rPr>
  </w:style>
  <w:style w:type="character" w:customStyle="1" w:styleId="EncabezadoCar">
    <w:name w:val="Encabezado Car"/>
    <w:rPr>
      <w:sz w:val="24"/>
      <w:szCs w:val="24"/>
      <w:lang w:val="es-ES" w:eastAsia="es-ES"/>
    </w:rPr>
  </w:style>
  <w:style w:type="paragraph" w:customStyle="1" w:styleId="texto">
    <w:name w:val="texto"/>
    <w:basedOn w:val="Normal"/>
    <w:pPr>
      <w:overflowPunct w:val="0"/>
      <w:autoSpaceDE w:val="0"/>
      <w:spacing w:after="101" w:line="216" w:lineRule="atLeast"/>
      <w:ind w:firstLine="288"/>
      <w:jc w:val="both"/>
    </w:pPr>
    <w:rPr>
      <w:rFonts w:ascii="Arial" w:hAnsi="Arial"/>
      <w:sz w:val="18"/>
      <w:szCs w:val="20"/>
      <w:lang w:val="es-ES_tradnl"/>
    </w:rPr>
  </w:style>
  <w:style w:type="character" w:styleId="Hipervnculo">
    <w:name w:val="Hyperlink"/>
    <w:rPr>
      <w:color w:val="0000FF"/>
      <w:u w:val="single"/>
    </w:rPr>
  </w:style>
  <w:style w:type="paragraph" w:styleId="Ttulo">
    <w:name w:val="Title"/>
    <w:basedOn w:val="Normal"/>
    <w:pPr>
      <w:spacing w:before="2000" w:line="312" w:lineRule="auto"/>
    </w:pPr>
    <w:rPr>
      <w:rFonts w:ascii="Verdana" w:hAnsi="Verdana" w:cs="Verdana"/>
      <w:b/>
      <w:caps/>
      <w:sz w:val="40"/>
      <w:szCs w:val="40"/>
      <w:lang w:val="en-US" w:eastAsia="en-US" w:bidi="en-US"/>
    </w:rPr>
  </w:style>
  <w:style w:type="character" w:customStyle="1" w:styleId="TtuloCar">
    <w:name w:val="Título Car"/>
    <w:rPr>
      <w:rFonts w:ascii="Verdana" w:hAnsi="Verdana" w:cs="Verdana"/>
      <w:b/>
      <w:caps/>
      <w:sz w:val="40"/>
      <w:szCs w:val="40"/>
      <w:lang w:val="en-US" w:eastAsia="en-US" w:bidi="en-US"/>
    </w:rPr>
  </w:style>
  <w:style w:type="paragraph" w:styleId="Subttulo">
    <w:name w:val="Subtitle"/>
    <w:basedOn w:val="Normal"/>
    <w:pPr>
      <w:spacing w:line="312" w:lineRule="auto"/>
    </w:pPr>
    <w:rPr>
      <w:rFonts w:ascii="Verdana" w:hAnsi="Verdana" w:cs="Verdana"/>
      <w:i/>
      <w:lang w:val="en-US" w:eastAsia="en-US" w:bidi="en-US"/>
    </w:rPr>
  </w:style>
  <w:style w:type="character" w:customStyle="1" w:styleId="SubttuloCar">
    <w:name w:val="Subtítulo Car"/>
    <w:rPr>
      <w:rFonts w:ascii="Verdana" w:hAnsi="Verdana" w:cs="Verdana"/>
      <w:i/>
      <w:sz w:val="24"/>
      <w:szCs w:val="24"/>
      <w:lang w:val="en-US" w:eastAsia="en-US" w:bidi="en-US"/>
    </w:rPr>
  </w:style>
  <w:style w:type="character" w:customStyle="1" w:styleId="PrrafodelistaCar">
    <w:name w:val="Párrafo de lista Car"/>
    <w:rPr>
      <w:rFonts w:ascii="Calibri" w:eastAsia="Calibri" w:hAnsi="Calibri"/>
      <w:sz w:val="22"/>
      <w:szCs w:val="22"/>
      <w:lang w:val="es-ES" w:eastAsia="en-US"/>
    </w:rPr>
  </w:style>
  <w:style w:type="paragraph" w:customStyle="1" w:styleId="Ttulo12">
    <w:name w:val="Título 12"/>
    <w:basedOn w:val="Normal"/>
    <w:rsid w:val="00077423"/>
    <w:pPr>
      <w:widowControl w:val="0"/>
      <w:suppressAutoHyphens w:val="0"/>
      <w:autoSpaceDE w:val="0"/>
      <w:ind w:left="2005"/>
      <w:jc w:val="center"/>
      <w:outlineLvl w:val="1"/>
    </w:pPr>
    <w:rPr>
      <w:rFonts w:ascii="Tahoma" w:eastAsia="Tahoma" w:hAnsi="Tahoma" w:cs="Tahoma"/>
      <w:b/>
      <w:bCs/>
      <w:sz w:val="22"/>
      <w:szCs w:val="22"/>
      <w:lang w:val="es-MX" w:eastAsia="es-MX" w:bidi="es-MX"/>
    </w:rPr>
  </w:style>
  <w:style w:type="paragraph" w:customStyle="1" w:styleId="Default">
    <w:name w:val="Default"/>
    <w:rsid w:val="00077423"/>
    <w:pPr>
      <w:autoSpaceDE w:val="0"/>
    </w:pPr>
    <w:rPr>
      <w:rFonts w:ascii="Segoe UI" w:eastAsia="Calibri" w:hAnsi="Segoe UI" w:cs="Segoe U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950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1708</Words>
  <Characters>9394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CONVENIO GENERAL DE COLABORACIÓN QUE CELEBRAN POR UNA</vt:lpstr>
    </vt:vector>
  </TitlesOfParts>
  <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GENERAL DE COLABORACIÓN QUE CELEBRAN POR UNA</dc:title>
  <dc:subject/>
  <dc:creator>Usuario</dc:creator>
  <cp:lastModifiedBy>Jefe de Estudios Normativos</cp:lastModifiedBy>
  <cp:revision>2</cp:revision>
  <cp:lastPrinted>2022-10-19T21:29:00Z</cp:lastPrinted>
  <dcterms:created xsi:type="dcterms:W3CDTF">2023-05-09T18:39:00Z</dcterms:created>
  <dcterms:modified xsi:type="dcterms:W3CDTF">2023-05-09T18:39:00Z</dcterms:modified>
</cp:coreProperties>
</file>