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before="0"/>
        <w:rPr>
          <w:rFonts w:ascii="Times New Roman"/>
          <w:sz w:val="20"/>
        </w:rPr>
      </w:pPr>
      <w:r>
        <w:rPr>
          <w:rFonts w:ascii="Times New Roman"/>
          <w:sz w:val="20"/>
        </w:rPr>
        <w:drawing>
          <wp:anchor distT="0" distB="0" distL="0" distR="0" allowOverlap="1" layoutInCell="1" locked="0" behindDoc="1" simplePos="0" relativeHeight="487536640">
            <wp:simplePos x="0" y="0"/>
            <wp:positionH relativeFrom="page">
              <wp:posOffset>151129</wp:posOffset>
            </wp:positionH>
            <wp:positionV relativeFrom="page">
              <wp:posOffset>350649</wp:posOffset>
            </wp:positionV>
            <wp:extent cx="9907270" cy="7087105"/>
            <wp:effectExtent l="0" t="0" r="0" b="0"/>
            <wp:wrapNone/>
            <wp:docPr id="1" name="Image 1" descr="Forma  Descripción generada automáticamente con confianza baja"/>
            <wp:cNvGraphicFramePr>
              <a:graphicFrameLocks/>
            </wp:cNvGraphicFramePr>
            <a:graphic>
              <a:graphicData uri="http://schemas.openxmlformats.org/drawingml/2006/picture">
                <pic:pic>
                  <pic:nvPicPr>
                    <pic:cNvPr id="1" name="Image 1" descr="Forma  Descripción generada automáticamente con confianza baja"/>
                    <pic:cNvPicPr/>
                  </pic:nvPicPr>
                  <pic:blipFill>
                    <a:blip r:embed="rId5" cstate="print"/>
                    <a:stretch>
                      <a:fillRect/>
                    </a:stretch>
                  </pic:blipFill>
                  <pic:spPr>
                    <a:xfrm>
                      <a:off x="0" y="0"/>
                      <a:ext cx="9907270" cy="7087105"/>
                    </a:xfrm>
                    <a:prstGeom prst="rect">
                      <a:avLst/>
                    </a:prstGeom>
                  </pic:spPr>
                </pic:pic>
              </a:graphicData>
            </a:graphic>
          </wp:anchor>
        </w:drawing>
      </w:r>
    </w:p>
    <w:p>
      <w:pPr>
        <w:spacing w:line="240" w:lineRule="auto" w:before="147" w:after="1"/>
        <w:rPr>
          <w:rFonts w:ascii="Times New Roman"/>
          <w:sz w:val="20"/>
        </w:rPr>
      </w:pPr>
    </w:p>
    <w:tbl>
      <w:tblPr>
        <w:tblW w:w="0" w:type="auto"/>
        <w:jc w:val="left"/>
        <w:tblInd w:w="2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978"/>
        <w:gridCol w:w="2431"/>
        <w:gridCol w:w="5081"/>
        <w:gridCol w:w="118"/>
      </w:tblGrid>
      <w:tr>
        <w:trPr>
          <w:trHeight w:val="2690" w:hRule="atLeast"/>
        </w:trPr>
        <w:tc>
          <w:tcPr>
            <w:tcW w:w="14608" w:type="dxa"/>
            <w:gridSpan w:val="4"/>
            <w:tcBorders>
              <w:bottom w:val="nil"/>
            </w:tcBorders>
          </w:tcPr>
          <w:p>
            <w:pPr>
              <w:pStyle w:val="TableParagraph"/>
              <w:rPr>
                <w:rFonts w:ascii="Times New Roman"/>
                <w:sz w:val="24"/>
              </w:rPr>
            </w:pPr>
          </w:p>
          <w:p>
            <w:pPr>
              <w:pStyle w:val="TableParagraph"/>
              <w:rPr>
                <w:rFonts w:ascii="Times New Roman"/>
                <w:sz w:val="24"/>
              </w:rPr>
            </w:pPr>
          </w:p>
          <w:p>
            <w:pPr>
              <w:pStyle w:val="TableParagraph"/>
              <w:spacing w:before="240"/>
              <w:rPr>
                <w:rFonts w:ascii="Times New Roman"/>
                <w:sz w:val="24"/>
              </w:rPr>
            </w:pPr>
          </w:p>
          <w:p>
            <w:pPr>
              <w:pStyle w:val="TableParagraph"/>
              <w:spacing w:line="415" w:lineRule="auto"/>
              <w:ind w:left="5773" w:right="3605" w:hanging="2123"/>
              <w:rPr>
                <w:b/>
                <w:sz w:val="24"/>
              </w:rPr>
            </w:pPr>
            <w:r>
              <w:rPr>
                <w:b/>
                <w:sz w:val="24"/>
              </w:rPr>
              <w:t>Capacitación</w:t>
            </w:r>
            <w:r>
              <w:rPr>
                <w:b/>
                <w:spacing w:val="-5"/>
                <w:sz w:val="24"/>
              </w:rPr>
              <w:t> </w:t>
            </w:r>
            <w:r>
              <w:rPr>
                <w:b/>
                <w:sz w:val="24"/>
              </w:rPr>
              <w:t>Presencial</w:t>
            </w:r>
            <w:r>
              <w:rPr>
                <w:b/>
                <w:spacing w:val="-5"/>
                <w:sz w:val="24"/>
              </w:rPr>
              <w:t> </w:t>
            </w:r>
            <w:r>
              <w:rPr>
                <w:b/>
                <w:sz w:val="24"/>
              </w:rPr>
              <w:t>dirigida</w:t>
            </w:r>
            <w:r>
              <w:rPr>
                <w:b/>
                <w:spacing w:val="-9"/>
                <w:sz w:val="24"/>
              </w:rPr>
              <w:t> </w:t>
            </w:r>
            <w:r>
              <w:rPr>
                <w:b/>
                <w:sz w:val="24"/>
              </w:rPr>
              <w:t>a</w:t>
            </w:r>
            <w:r>
              <w:rPr>
                <w:b/>
                <w:spacing w:val="-7"/>
                <w:sz w:val="24"/>
              </w:rPr>
              <w:t> </w:t>
            </w:r>
            <w:r>
              <w:rPr>
                <w:b/>
                <w:sz w:val="24"/>
              </w:rPr>
              <w:t>distintos</w:t>
            </w:r>
            <w:r>
              <w:rPr>
                <w:b/>
                <w:spacing w:val="-7"/>
                <w:sz w:val="24"/>
              </w:rPr>
              <w:t> </w:t>
            </w:r>
            <w:r>
              <w:rPr>
                <w:b/>
                <w:sz w:val="24"/>
              </w:rPr>
              <w:t>Servidores</w:t>
            </w:r>
            <w:r>
              <w:rPr>
                <w:b/>
                <w:spacing w:val="-7"/>
                <w:sz w:val="24"/>
              </w:rPr>
              <w:t> </w:t>
            </w:r>
            <w:r>
              <w:rPr>
                <w:b/>
                <w:sz w:val="24"/>
              </w:rPr>
              <w:t>Públicos Del Estado de Nuevo León.</w:t>
            </w:r>
          </w:p>
        </w:tc>
      </w:tr>
      <w:tr>
        <w:trPr>
          <w:trHeight w:val="901" w:hRule="atLeast"/>
        </w:trPr>
        <w:tc>
          <w:tcPr>
            <w:tcW w:w="6978" w:type="dxa"/>
            <w:vMerge w:val="restart"/>
            <w:tcBorders>
              <w:top w:val="nil"/>
              <w:right w:val="single" w:sz="4" w:space="0" w:color="FFFFFF"/>
            </w:tcBorders>
          </w:tcPr>
          <w:p>
            <w:pPr>
              <w:pStyle w:val="TableParagraph"/>
              <w:ind w:left="259"/>
              <w:rPr>
                <w:rFonts w:ascii="Times New Roman"/>
                <w:sz w:val="20"/>
              </w:rPr>
            </w:pPr>
            <w:r>
              <w:rPr>
                <w:rFonts w:ascii="Times New Roman"/>
                <w:sz w:val="20"/>
              </w:rPr>
              <w:drawing>
                <wp:inline distT="0" distB="0" distL="0" distR="0">
                  <wp:extent cx="3807179" cy="2743200"/>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3807179" cy="2743200"/>
                          </a:xfrm>
                          <a:prstGeom prst="rect">
                            <a:avLst/>
                          </a:prstGeom>
                        </pic:spPr>
                      </pic:pic>
                    </a:graphicData>
                  </a:graphic>
                </wp:inline>
              </w:drawing>
            </w:r>
            <w:r>
              <w:rPr>
                <w:rFonts w:ascii="Times New Roman"/>
                <w:sz w:val="20"/>
              </w:rPr>
            </w:r>
          </w:p>
        </w:tc>
        <w:tc>
          <w:tcPr>
            <w:tcW w:w="2431" w:type="dxa"/>
            <w:tcBorders>
              <w:top w:val="single" w:sz="4" w:space="0" w:color="FFFFFF"/>
              <w:left w:val="single" w:sz="4" w:space="0" w:color="FFFFFF"/>
              <w:bottom w:val="single" w:sz="4" w:space="0" w:color="FFFFFF"/>
              <w:right w:val="single" w:sz="4" w:space="0" w:color="FFFFFF"/>
            </w:tcBorders>
            <w:shd w:val="clear" w:color="auto" w:fill="BEBEBE"/>
          </w:tcPr>
          <w:p>
            <w:pPr>
              <w:pStyle w:val="TableParagraph"/>
              <w:spacing w:before="73"/>
              <w:rPr>
                <w:rFonts w:ascii="Times New Roman"/>
                <w:sz w:val="22"/>
              </w:rPr>
            </w:pPr>
          </w:p>
          <w:p>
            <w:pPr>
              <w:pStyle w:val="TableParagraph"/>
              <w:ind w:left="110"/>
              <w:rPr>
                <w:b/>
                <w:sz w:val="22"/>
              </w:rPr>
            </w:pPr>
            <w:r>
              <w:rPr>
                <w:b/>
                <w:spacing w:val="-2"/>
                <w:sz w:val="22"/>
              </w:rPr>
              <w:t>Fecha:</w:t>
            </w:r>
          </w:p>
        </w:tc>
        <w:tc>
          <w:tcPr>
            <w:tcW w:w="5081" w:type="dxa"/>
            <w:tcBorders>
              <w:top w:val="single" w:sz="4" w:space="0" w:color="FFFFFF"/>
              <w:left w:val="single" w:sz="4" w:space="0" w:color="FFFFFF"/>
              <w:bottom w:val="single" w:sz="4" w:space="0" w:color="FFFFFF"/>
              <w:right w:val="single" w:sz="4" w:space="0" w:color="FFFFFF"/>
            </w:tcBorders>
            <w:shd w:val="clear" w:color="auto" w:fill="BEBEBE"/>
          </w:tcPr>
          <w:p>
            <w:pPr>
              <w:pStyle w:val="TableParagraph"/>
              <w:spacing w:before="73"/>
              <w:rPr>
                <w:rFonts w:ascii="Times New Roman"/>
                <w:sz w:val="22"/>
              </w:rPr>
            </w:pPr>
          </w:p>
          <w:p>
            <w:pPr>
              <w:pStyle w:val="TableParagraph"/>
              <w:ind w:left="111"/>
              <w:rPr>
                <w:sz w:val="22"/>
              </w:rPr>
            </w:pPr>
            <w:r>
              <w:rPr>
                <w:spacing w:val="-2"/>
                <w:sz w:val="22"/>
              </w:rPr>
              <w:t>06/noviembre/2025</w:t>
            </w:r>
          </w:p>
        </w:tc>
        <w:tc>
          <w:tcPr>
            <w:tcW w:w="118" w:type="dxa"/>
            <w:tcBorders>
              <w:top w:val="nil"/>
              <w:left w:val="single" w:sz="4" w:space="0" w:color="FFFFFF"/>
              <w:bottom w:val="nil"/>
            </w:tcBorders>
          </w:tcPr>
          <w:p>
            <w:pPr>
              <w:pStyle w:val="TableParagraph"/>
              <w:rPr>
                <w:rFonts w:ascii="Times New Roman"/>
                <w:sz w:val="16"/>
              </w:rPr>
            </w:pPr>
          </w:p>
        </w:tc>
      </w:tr>
      <w:tr>
        <w:trPr>
          <w:trHeight w:val="923" w:hRule="atLeast"/>
        </w:trPr>
        <w:tc>
          <w:tcPr>
            <w:tcW w:w="6978" w:type="dxa"/>
            <w:vMerge/>
            <w:tcBorders>
              <w:top w:val="nil"/>
              <w:right w:val="single" w:sz="4" w:space="0" w:color="FFFFFF"/>
            </w:tcBorders>
          </w:tcPr>
          <w:p>
            <w:pPr>
              <w:rPr>
                <w:sz w:val="2"/>
                <w:szCs w:val="2"/>
              </w:rPr>
            </w:pPr>
          </w:p>
        </w:tc>
        <w:tc>
          <w:tcPr>
            <w:tcW w:w="2431" w:type="dxa"/>
            <w:tcBorders>
              <w:top w:val="single" w:sz="4" w:space="0" w:color="FFFFFF"/>
              <w:left w:val="single" w:sz="4" w:space="0" w:color="FFFFFF"/>
              <w:bottom w:val="single" w:sz="4" w:space="0" w:color="FFFFFF"/>
              <w:right w:val="single" w:sz="4" w:space="0" w:color="FFFFFF"/>
            </w:tcBorders>
            <w:shd w:val="clear" w:color="auto" w:fill="BEBEBE"/>
          </w:tcPr>
          <w:p>
            <w:pPr>
              <w:pStyle w:val="TableParagraph"/>
              <w:spacing w:before="82"/>
              <w:rPr>
                <w:rFonts w:ascii="Times New Roman"/>
                <w:sz w:val="22"/>
              </w:rPr>
            </w:pPr>
          </w:p>
          <w:p>
            <w:pPr>
              <w:pStyle w:val="TableParagraph"/>
              <w:ind w:left="110"/>
              <w:rPr>
                <w:sz w:val="22"/>
              </w:rPr>
            </w:pPr>
            <w:r>
              <w:rPr>
                <w:b/>
                <w:spacing w:val="-2"/>
                <w:sz w:val="22"/>
              </w:rPr>
              <w:t>Lugar</w:t>
            </w:r>
            <w:r>
              <w:rPr>
                <w:spacing w:val="-2"/>
                <w:sz w:val="22"/>
              </w:rPr>
              <w:t>:</w:t>
            </w:r>
          </w:p>
        </w:tc>
        <w:tc>
          <w:tcPr>
            <w:tcW w:w="5081" w:type="dxa"/>
            <w:tcBorders>
              <w:top w:val="single" w:sz="4" w:space="0" w:color="FFFFFF"/>
              <w:left w:val="single" w:sz="4" w:space="0" w:color="FFFFFF"/>
              <w:bottom w:val="single" w:sz="4" w:space="0" w:color="FFFFFF"/>
              <w:right w:val="single" w:sz="4" w:space="0" w:color="FFFFFF"/>
            </w:tcBorders>
            <w:shd w:val="clear" w:color="auto" w:fill="BEBEBE"/>
          </w:tcPr>
          <w:p>
            <w:pPr>
              <w:pStyle w:val="TableParagraph"/>
              <w:spacing w:before="237"/>
              <w:ind w:left="111"/>
              <w:rPr>
                <w:sz w:val="22"/>
              </w:rPr>
            </w:pPr>
            <w:r>
              <w:rPr>
                <w:spacing w:val="-2"/>
                <w:sz w:val="22"/>
              </w:rPr>
              <w:t>Presencial</w:t>
            </w:r>
          </w:p>
        </w:tc>
        <w:tc>
          <w:tcPr>
            <w:tcW w:w="118" w:type="dxa"/>
            <w:tcBorders>
              <w:top w:val="nil"/>
              <w:left w:val="single" w:sz="4" w:space="0" w:color="FFFFFF"/>
              <w:bottom w:val="nil"/>
            </w:tcBorders>
          </w:tcPr>
          <w:p>
            <w:pPr>
              <w:pStyle w:val="TableParagraph"/>
              <w:rPr>
                <w:rFonts w:ascii="Times New Roman"/>
                <w:sz w:val="16"/>
              </w:rPr>
            </w:pPr>
          </w:p>
        </w:tc>
      </w:tr>
      <w:tr>
        <w:trPr>
          <w:trHeight w:val="899" w:hRule="atLeast"/>
        </w:trPr>
        <w:tc>
          <w:tcPr>
            <w:tcW w:w="6978" w:type="dxa"/>
            <w:vMerge/>
            <w:tcBorders>
              <w:top w:val="nil"/>
              <w:right w:val="single" w:sz="4" w:space="0" w:color="FFFFFF"/>
            </w:tcBorders>
          </w:tcPr>
          <w:p>
            <w:pPr>
              <w:rPr>
                <w:sz w:val="2"/>
                <w:szCs w:val="2"/>
              </w:rPr>
            </w:pPr>
          </w:p>
        </w:tc>
        <w:tc>
          <w:tcPr>
            <w:tcW w:w="2431" w:type="dxa"/>
            <w:tcBorders>
              <w:top w:val="single" w:sz="4" w:space="0" w:color="FFFFFF"/>
              <w:left w:val="single" w:sz="4" w:space="0" w:color="FFFFFF"/>
              <w:bottom w:val="single" w:sz="4" w:space="0" w:color="FFFFFF"/>
              <w:right w:val="single" w:sz="4" w:space="0" w:color="FFFFFF"/>
            </w:tcBorders>
            <w:shd w:val="clear" w:color="auto" w:fill="BEBEBE"/>
          </w:tcPr>
          <w:p>
            <w:pPr>
              <w:pStyle w:val="TableParagraph"/>
              <w:spacing w:before="71"/>
              <w:rPr>
                <w:rFonts w:ascii="Times New Roman"/>
                <w:sz w:val="22"/>
              </w:rPr>
            </w:pPr>
          </w:p>
          <w:p>
            <w:pPr>
              <w:pStyle w:val="TableParagraph"/>
              <w:ind w:left="110"/>
              <w:rPr>
                <w:b/>
                <w:sz w:val="22"/>
              </w:rPr>
            </w:pPr>
            <w:r>
              <w:rPr>
                <w:b/>
                <w:spacing w:val="-2"/>
                <w:sz w:val="22"/>
              </w:rPr>
              <w:t>Hora:</w:t>
            </w:r>
          </w:p>
        </w:tc>
        <w:tc>
          <w:tcPr>
            <w:tcW w:w="5081" w:type="dxa"/>
            <w:tcBorders>
              <w:top w:val="single" w:sz="4" w:space="0" w:color="FFFFFF"/>
              <w:left w:val="single" w:sz="4" w:space="0" w:color="FFFFFF"/>
              <w:bottom w:val="single" w:sz="4" w:space="0" w:color="FFFFFF"/>
              <w:right w:val="single" w:sz="4" w:space="0" w:color="FFFFFF"/>
            </w:tcBorders>
            <w:shd w:val="clear" w:color="auto" w:fill="BEBEBE"/>
          </w:tcPr>
          <w:p>
            <w:pPr>
              <w:pStyle w:val="TableParagraph"/>
              <w:spacing w:before="71"/>
              <w:rPr>
                <w:rFonts w:ascii="Times New Roman"/>
                <w:sz w:val="22"/>
              </w:rPr>
            </w:pPr>
          </w:p>
          <w:p>
            <w:pPr>
              <w:pStyle w:val="TableParagraph"/>
              <w:ind w:left="111"/>
              <w:rPr>
                <w:sz w:val="22"/>
              </w:rPr>
            </w:pPr>
            <w:r>
              <w:rPr>
                <w:sz w:val="22"/>
              </w:rPr>
              <w:t>11:00</w:t>
            </w:r>
            <w:r>
              <w:rPr>
                <w:spacing w:val="-3"/>
                <w:sz w:val="22"/>
              </w:rPr>
              <w:t> </w:t>
            </w:r>
            <w:r>
              <w:rPr>
                <w:spacing w:val="-5"/>
                <w:sz w:val="22"/>
              </w:rPr>
              <w:t>AM</w:t>
            </w:r>
          </w:p>
        </w:tc>
        <w:tc>
          <w:tcPr>
            <w:tcW w:w="118" w:type="dxa"/>
            <w:tcBorders>
              <w:top w:val="nil"/>
              <w:left w:val="single" w:sz="4" w:space="0" w:color="FFFFFF"/>
              <w:bottom w:val="nil"/>
            </w:tcBorders>
          </w:tcPr>
          <w:p>
            <w:pPr>
              <w:pStyle w:val="TableParagraph"/>
              <w:rPr>
                <w:rFonts w:ascii="Times New Roman"/>
                <w:sz w:val="16"/>
              </w:rPr>
            </w:pPr>
          </w:p>
        </w:tc>
      </w:tr>
      <w:tr>
        <w:trPr>
          <w:trHeight w:val="721" w:hRule="atLeast"/>
        </w:trPr>
        <w:tc>
          <w:tcPr>
            <w:tcW w:w="6978" w:type="dxa"/>
            <w:vMerge/>
            <w:tcBorders>
              <w:top w:val="nil"/>
              <w:right w:val="single" w:sz="4" w:space="0" w:color="FFFFFF"/>
            </w:tcBorders>
          </w:tcPr>
          <w:p>
            <w:pPr>
              <w:rPr>
                <w:sz w:val="2"/>
                <w:szCs w:val="2"/>
              </w:rPr>
            </w:pPr>
          </w:p>
        </w:tc>
        <w:tc>
          <w:tcPr>
            <w:tcW w:w="2431" w:type="dxa"/>
            <w:tcBorders>
              <w:top w:val="single" w:sz="4" w:space="0" w:color="FFFFFF"/>
              <w:left w:val="single" w:sz="4" w:space="0" w:color="FFFFFF"/>
              <w:bottom w:val="single" w:sz="4" w:space="0" w:color="FFFFFF"/>
              <w:right w:val="single" w:sz="4" w:space="0" w:color="FFFFFF"/>
            </w:tcBorders>
            <w:shd w:val="clear" w:color="auto" w:fill="BEBEBE"/>
          </w:tcPr>
          <w:p>
            <w:pPr>
              <w:pStyle w:val="TableParagraph"/>
              <w:spacing w:before="235"/>
              <w:ind w:left="110"/>
              <w:rPr>
                <w:b/>
                <w:sz w:val="22"/>
              </w:rPr>
            </w:pPr>
            <w:r>
              <w:rPr>
                <w:b/>
                <w:spacing w:val="-2"/>
                <w:sz w:val="22"/>
              </w:rPr>
              <w:t>Asistentes:</w:t>
            </w:r>
          </w:p>
        </w:tc>
        <w:tc>
          <w:tcPr>
            <w:tcW w:w="5081" w:type="dxa"/>
            <w:tcBorders>
              <w:top w:val="single" w:sz="4" w:space="0" w:color="FFFFFF"/>
              <w:left w:val="single" w:sz="4" w:space="0" w:color="FFFFFF"/>
              <w:bottom w:val="single" w:sz="4" w:space="0" w:color="FFFFFF"/>
              <w:right w:val="single" w:sz="4" w:space="0" w:color="FFFFFF"/>
            </w:tcBorders>
            <w:shd w:val="clear" w:color="auto" w:fill="BEBEBE"/>
          </w:tcPr>
          <w:p>
            <w:pPr>
              <w:pStyle w:val="TableParagraph"/>
              <w:spacing w:before="235"/>
              <w:ind w:left="111"/>
              <w:rPr>
                <w:sz w:val="22"/>
              </w:rPr>
            </w:pPr>
            <w:r>
              <w:rPr>
                <w:spacing w:val="-5"/>
                <w:sz w:val="22"/>
              </w:rPr>
              <w:t>234</w:t>
            </w:r>
          </w:p>
        </w:tc>
        <w:tc>
          <w:tcPr>
            <w:tcW w:w="118" w:type="dxa"/>
            <w:tcBorders>
              <w:top w:val="nil"/>
              <w:left w:val="single" w:sz="4" w:space="0" w:color="FFFFFF"/>
              <w:bottom w:val="nil"/>
            </w:tcBorders>
          </w:tcPr>
          <w:p>
            <w:pPr>
              <w:pStyle w:val="TableParagraph"/>
              <w:rPr>
                <w:rFonts w:ascii="Times New Roman"/>
                <w:sz w:val="16"/>
              </w:rPr>
            </w:pPr>
          </w:p>
        </w:tc>
      </w:tr>
      <w:tr>
        <w:trPr>
          <w:trHeight w:val="716" w:hRule="atLeast"/>
        </w:trPr>
        <w:tc>
          <w:tcPr>
            <w:tcW w:w="6978" w:type="dxa"/>
            <w:vMerge/>
            <w:tcBorders>
              <w:top w:val="nil"/>
              <w:right w:val="single" w:sz="4" w:space="0" w:color="FFFFFF"/>
            </w:tcBorders>
          </w:tcPr>
          <w:p>
            <w:pPr>
              <w:rPr>
                <w:sz w:val="2"/>
                <w:szCs w:val="2"/>
              </w:rPr>
            </w:pPr>
          </w:p>
        </w:tc>
        <w:tc>
          <w:tcPr>
            <w:tcW w:w="2431" w:type="dxa"/>
            <w:tcBorders>
              <w:top w:val="single" w:sz="4" w:space="0" w:color="FFFFFF"/>
              <w:left w:val="single" w:sz="4" w:space="0" w:color="FFFFFF"/>
              <w:bottom w:val="nil"/>
              <w:right w:val="single" w:sz="4" w:space="0" w:color="FFFFFF"/>
            </w:tcBorders>
            <w:shd w:val="clear" w:color="auto" w:fill="BEBEBE"/>
          </w:tcPr>
          <w:p>
            <w:pPr>
              <w:pStyle w:val="TableParagraph"/>
              <w:spacing w:before="235"/>
              <w:ind w:left="110"/>
              <w:rPr>
                <w:b/>
                <w:sz w:val="22"/>
              </w:rPr>
            </w:pPr>
            <w:r>
              <w:rPr>
                <w:b/>
                <w:sz w:val="22"/>
              </w:rPr>
              <w:t>Tema</w:t>
            </w:r>
            <w:r>
              <w:rPr>
                <w:b/>
                <w:spacing w:val="-5"/>
                <w:sz w:val="22"/>
              </w:rPr>
              <w:t> </w:t>
            </w:r>
            <w:r>
              <w:rPr>
                <w:b/>
                <w:spacing w:val="-2"/>
                <w:sz w:val="22"/>
              </w:rPr>
              <w:t>impartido:</w:t>
            </w:r>
          </w:p>
        </w:tc>
        <w:tc>
          <w:tcPr>
            <w:tcW w:w="5081" w:type="dxa"/>
            <w:tcBorders>
              <w:top w:val="single" w:sz="4" w:space="0" w:color="FFFFFF"/>
              <w:left w:val="single" w:sz="4" w:space="0" w:color="FFFFFF"/>
              <w:bottom w:val="nil"/>
              <w:right w:val="single" w:sz="4" w:space="0" w:color="FFFFFF"/>
            </w:tcBorders>
            <w:shd w:val="clear" w:color="auto" w:fill="BEBEBE"/>
          </w:tcPr>
          <w:p>
            <w:pPr>
              <w:pStyle w:val="TableParagraph"/>
              <w:spacing w:before="107"/>
              <w:ind w:left="111"/>
              <w:rPr>
                <w:sz w:val="22"/>
              </w:rPr>
            </w:pPr>
            <w:r>
              <w:rPr>
                <w:sz w:val="22"/>
              </w:rPr>
              <w:t>Sistema</w:t>
            </w:r>
            <w:r>
              <w:rPr>
                <w:spacing w:val="-6"/>
                <w:sz w:val="22"/>
              </w:rPr>
              <w:t> </w:t>
            </w:r>
            <w:r>
              <w:rPr>
                <w:sz w:val="22"/>
              </w:rPr>
              <w:t>de</w:t>
            </w:r>
            <w:r>
              <w:rPr>
                <w:spacing w:val="-9"/>
                <w:sz w:val="22"/>
              </w:rPr>
              <w:t> </w:t>
            </w:r>
            <w:r>
              <w:rPr>
                <w:sz w:val="22"/>
              </w:rPr>
              <w:t>Portales</w:t>
            </w:r>
            <w:r>
              <w:rPr>
                <w:spacing w:val="-7"/>
                <w:sz w:val="22"/>
              </w:rPr>
              <w:t> </w:t>
            </w:r>
            <w:r>
              <w:rPr>
                <w:sz w:val="22"/>
              </w:rPr>
              <w:t>de</w:t>
            </w:r>
            <w:r>
              <w:rPr>
                <w:spacing w:val="-10"/>
                <w:sz w:val="22"/>
              </w:rPr>
              <w:t> </w:t>
            </w:r>
            <w:r>
              <w:rPr>
                <w:sz w:val="22"/>
              </w:rPr>
              <w:t>Obligaciones</w:t>
            </w:r>
            <w:r>
              <w:rPr>
                <w:spacing w:val="-7"/>
                <w:sz w:val="22"/>
              </w:rPr>
              <w:t> </w:t>
            </w:r>
            <w:r>
              <w:rPr>
                <w:sz w:val="22"/>
              </w:rPr>
              <w:t>de Transparencia (SIPOT)</w:t>
            </w:r>
          </w:p>
        </w:tc>
        <w:tc>
          <w:tcPr>
            <w:tcW w:w="118" w:type="dxa"/>
            <w:tcBorders>
              <w:top w:val="nil"/>
              <w:left w:val="single" w:sz="4" w:space="0" w:color="FFFFFF"/>
              <w:bottom w:val="nil"/>
            </w:tcBorders>
          </w:tcPr>
          <w:p>
            <w:pPr>
              <w:pStyle w:val="TableParagraph"/>
              <w:rPr>
                <w:rFonts w:ascii="Times New Roman"/>
                <w:sz w:val="16"/>
              </w:rPr>
            </w:pPr>
          </w:p>
        </w:tc>
      </w:tr>
      <w:tr>
        <w:trPr>
          <w:trHeight w:val="318" w:hRule="atLeast"/>
        </w:trPr>
        <w:tc>
          <w:tcPr>
            <w:tcW w:w="6978" w:type="dxa"/>
            <w:vMerge/>
            <w:tcBorders>
              <w:top w:val="nil"/>
              <w:right w:val="single" w:sz="4" w:space="0" w:color="FFFFFF"/>
            </w:tcBorders>
          </w:tcPr>
          <w:p>
            <w:pPr>
              <w:rPr>
                <w:sz w:val="2"/>
                <w:szCs w:val="2"/>
              </w:rPr>
            </w:pPr>
          </w:p>
        </w:tc>
        <w:tc>
          <w:tcPr>
            <w:tcW w:w="7630" w:type="dxa"/>
            <w:gridSpan w:val="3"/>
            <w:tcBorders>
              <w:top w:val="nil"/>
              <w:left w:val="single" w:sz="4" w:space="0" w:color="FFFFFF"/>
            </w:tcBorders>
          </w:tcPr>
          <w:p>
            <w:pPr>
              <w:pStyle w:val="TableParagraph"/>
              <w:rPr>
                <w:rFonts w:ascii="Times New Roman"/>
                <w:sz w:val="16"/>
              </w:rPr>
            </w:pPr>
          </w:p>
        </w:tc>
      </w:tr>
      <w:tr>
        <w:trPr>
          <w:trHeight w:val="172" w:hRule="atLeast"/>
        </w:trPr>
        <w:tc>
          <w:tcPr>
            <w:tcW w:w="6978" w:type="dxa"/>
            <w:tcBorders>
              <w:bottom w:val="nil"/>
              <w:right w:val="single" w:sz="4" w:space="0" w:color="FFFFFF"/>
            </w:tcBorders>
            <w:shd w:val="clear" w:color="auto" w:fill="FFFFFF"/>
          </w:tcPr>
          <w:p>
            <w:pPr>
              <w:pStyle w:val="TableParagraph"/>
              <w:spacing w:line="80" w:lineRule="exact" w:before="73"/>
              <w:ind w:left="120" w:right="-29"/>
              <w:rPr>
                <w:sz w:val="16"/>
              </w:rPr>
            </w:pPr>
            <w:r>
              <w:rPr>
                <w:sz w:val="16"/>
              </w:rPr>
              <w:t>A</w:t>
            </w:r>
            <w:r>
              <w:rPr>
                <w:spacing w:val="-3"/>
                <w:sz w:val="16"/>
              </w:rPr>
              <w:t> </w:t>
            </w:r>
            <w:r>
              <w:rPr>
                <w:sz w:val="16"/>
              </w:rPr>
              <w:t>esta</w:t>
            </w:r>
            <w:r>
              <w:rPr>
                <w:spacing w:val="-5"/>
                <w:sz w:val="16"/>
              </w:rPr>
              <w:t> </w:t>
            </w:r>
            <w:r>
              <w:rPr>
                <w:sz w:val="16"/>
              </w:rPr>
              <w:t>capacitación</w:t>
            </w:r>
            <w:r>
              <w:rPr>
                <w:spacing w:val="-4"/>
                <w:sz w:val="16"/>
              </w:rPr>
              <w:t> </w:t>
            </w:r>
            <w:r>
              <w:rPr>
                <w:sz w:val="16"/>
              </w:rPr>
              <w:t>asistieron</w:t>
            </w:r>
            <w:r>
              <w:rPr>
                <w:spacing w:val="-3"/>
                <w:sz w:val="16"/>
              </w:rPr>
              <w:t> </w:t>
            </w:r>
            <w:r>
              <w:rPr>
                <w:sz w:val="16"/>
              </w:rPr>
              <w:t>funcionarios</w:t>
            </w:r>
            <w:r>
              <w:rPr>
                <w:spacing w:val="-2"/>
                <w:sz w:val="16"/>
              </w:rPr>
              <w:t> </w:t>
            </w:r>
            <w:r>
              <w:rPr>
                <w:sz w:val="16"/>
              </w:rPr>
              <w:t>de Municipio</w:t>
            </w:r>
            <w:r>
              <w:rPr>
                <w:spacing w:val="-1"/>
                <w:sz w:val="16"/>
              </w:rPr>
              <w:t> </w:t>
            </w:r>
            <w:r>
              <w:rPr>
                <w:sz w:val="16"/>
              </w:rPr>
              <w:t>de</w:t>
            </w:r>
            <w:r>
              <w:rPr>
                <w:spacing w:val="-4"/>
                <w:sz w:val="16"/>
              </w:rPr>
              <w:t> </w:t>
            </w:r>
            <w:r>
              <w:rPr>
                <w:sz w:val="16"/>
              </w:rPr>
              <w:t>Monterrey,</w:t>
            </w:r>
            <w:r>
              <w:rPr>
                <w:spacing w:val="-2"/>
                <w:sz w:val="16"/>
              </w:rPr>
              <w:t> </w:t>
            </w:r>
            <w:r>
              <w:rPr>
                <w:sz w:val="16"/>
              </w:rPr>
              <w:t>N.L.,</w:t>
            </w:r>
            <w:r>
              <w:rPr>
                <w:spacing w:val="-2"/>
                <w:sz w:val="16"/>
              </w:rPr>
              <w:t> </w:t>
            </w:r>
            <w:r>
              <w:rPr>
                <w:sz w:val="16"/>
              </w:rPr>
              <w:t>CONARTE,</w:t>
            </w:r>
            <w:r>
              <w:rPr>
                <w:spacing w:val="-1"/>
                <w:sz w:val="16"/>
              </w:rPr>
              <w:t> </w:t>
            </w:r>
            <w:r>
              <w:rPr>
                <w:spacing w:val="-2"/>
                <w:sz w:val="16"/>
              </w:rPr>
              <w:t>Parque</w:t>
            </w:r>
          </w:p>
        </w:tc>
        <w:tc>
          <w:tcPr>
            <w:tcW w:w="7630" w:type="dxa"/>
            <w:gridSpan w:val="3"/>
            <w:tcBorders>
              <w:left w:val="single" w:sz="4" w:space="0" w:color="FFFFFF"/>
              <w:bottom w:val="nil"/>
            </w:tcBorders>
            <w:shd w:val="clear" w:color="auto" w:fill="FFFFFF"/>
          </w:tcPr>
          <w:p>
            <w:pPr>
              <w:pStyle w:val="TableParagraph"/>
              <w:spacing w:line="80" w:lineRule="exact" w:before="73"/>
              <w:ind w:left="52"/>
              <w:rPr>
                <w:sz w:val="16"/>
              </w:rPr>
            </w:pPr>
            <w:r>
              <w:rPr>
                <w:sz w:val="16"/>
              </w:rPr>
              <w:t>Fundidora,</w:t>
            </w:r>
            <w:r>
              <w:rPr>
                <w:spacing w:val="-1"/>
                <w:sz w:val="16"/>
              </w:rPr>
              <w:t> </w:t>
            </w:r>
            <w:r>
              <w:rPr>
                <w:sz w:val="16"/>
              </w:rPr>
              <w:t>Auditoria</w:t>
            </w:r>
            <w:r>
              <w:rPr>
                <w:spacing w:val="-1"/>
                <w:sz w:val="16"/>
              </w:rPr>
              <w:t> </w:t>
            </w:r>
            <w:r>
              <w:rPr>
                <w:sz w:val="16"/>
              </w:rPr>
              <w:t>Superior del Estado De</w:t>
            </w:r>
            <w:r>
              <w:rPr>
                <w:spacing w:val="1"/>
                <w:sz w:val="16"/>
              </w:rPr>
              <w:t> </w:t>
            </w:r>
            <w:r>
              <w:rPr>
                <w:sz w:val="16"/>
              </w:rPr>
              <w:t>Nuevo</w:t>
            </w:r>
            <w:r>
              <w:rPr>
                <w:spacing w:val="-1"/>
                <w:sz w:val="16"/>
              </w:rPr>
              <w:t> </w:t>
            </w:r>
            <w:r>
              <w:rPr>
                <w:sz w:val="16"/>
              </w:rPr>
              <w:t>León, Servicios de</w:t>
            </w:r>
            <w:r>
              <w:rPr>
                <w:spacing w:val="-2"/>
                <w:sz w:val="16"/>
              </w:rPr>
              <w:t> </w:t>
            </w:r>
            <w:r>
              <w:rPr>
                <w:sz w:val="16"/>
              </w:rPr>
              <w:t>Salud de</w:t>
            </w:r>
            <w:r>
              <w:rPr>
                <w:spacing w:val="1"/>
                <w:sz w:val="16"/>
              </w:rPr>
              <w:t> </w:t>
            </w:r>
            <w:r>
              <w:rPr>
                <w:sz w:val="16"/>
              </w:rPr>
              <w:t>Nuevo</w:t>
            </w:r>
            <w:r>
              <w:rPr>
                <w:spacing w:val="1"/>
                <w:sz w:val="16"/>
              </w:rPr>
              <w:t> </w:t>
            </w:r>
            <w:r>
              <w:rPr>
                <w:sz w:val="16"/>
              </w:rPr>
              <w:t>León, </w:t>
            </w:r>
            <w:r>
              <w:rPr>
                <w:spacing w:val="-2"/>
                <w:sz w:val="16"/>
              </w:rPr>
              <w:t>Municipio</w:t>
            </w:r>
          </w:p>
        </w:tc>
      </w:tr>
      <w:tr>
        <w:trPr>
          <w:trHeight w:val="2178" w:hRule="atLeast"/>
        </w:trPr>
        <w:tc>
          <w:tcPr>
            <w:tcW w:w="14608" w:type="dxa"/>
            <w:gridSpan w:val="4"/>
            <w:tcBorders>
              <w:top w:val="nil"/>
              <w:left w:val="nil"/>
            </w:tcBorders>
            <w:shd w:val="clear" w:color="auto" w:fill="FFFFFF"/>
          </w:tcPr>
          <w:p>
            <w:pPr>
              <w:pStyle w:val="TableParagraph"/>
              <w:spacing w:before="85"/>
              <w:ind w:left="128" w:right="143"/>
              <w:jc w:val="both"/>
              <w:rPr>
                <w:sz w:val="16"/>
              </w:rPr>
            </w:pPr>
            <w:r>
              <w:rPr>
                <w:sz w:val="16"/>
              </w:rPr>
              <w:t>General</w:t>
            </w:r>
            <w:r>
              <w:rPr>
                <w:spacing w:val="-2"/>
                <w:sz w:val="16"/>
              </w:rPr>
              <w:t> </w:t>
            </w:r>
            <w:r>
              <w:rPr>
                <w:sz w:val="16"/>
              </w:rPr>
              <w:t>Zuazua,</w:t>
            </w:r>
            <w:r>
              <w:rPr>
                <w:spacing w:val="-4"/>
                <w:sz w:val="16"/>
              </w:rPr>
              <w:t> </w:t>
            </w:r>
            <w:r>
              <w:rPr>
                <w:sz w:val="16"/>
              </w:rPr>
              <w:t>N.L.,</w:t>
            </w:r>
            <w:r>
              <w:rPr>
                <w:spacing w:val="-4"/>
                <w:sz w:val="16"/>
              </w:rPr>
              <w:t> </w:t>
            </w:r>
            <w:r>
              <w:rPr>
                <w:sz w:val="16"/>
              </w:rPr>
              <w:t>Municipio</w:t>
            </w:r>
            <w:r>
              <w:rPr>
                <w:spacing w:val="-3"/>
                <w:sz w:val="16"/>
              </w:rPr>
              <w:t> </w:t>
            </w:r>
            <w:r>
              <w:rPr>
                <w:sz w:val="16"/>
              </w:rPr>
              <w:t>de</w:t>
            </w:r>
            <w:r>
              <w:rPr>
                <w:spacing w:val="-3"/>
                <w:sz w:val="16"/>
              </w:rPr>
              <w:t> </w:t>
            </w:r>
            <w:r>
              <w:rPr>
                <w:sz w:val="16"/>
              </w:rPr>
              <w:t>San</w:t>
            </w:r>
            <w:r>
              <w:rPr>
                <w:spacing w:val="-6"/>
                <w:sz w:val="16"/>
              </w:rPr>
              <w:t> </w:t>
            </w:r>
            <w:r>
              <w:rPr>
                <w:sz w:val="16"/>
              </w:rPr>
              <w:t>Pedro</w:t>
            </w:r>
            <w:r>
              <w:rPr>
                <w:spacing w:val="-3"/>
                <w:sz w:val="16"/>
              </w:rPr>
              <w:t> </w:t>
            </w:r>
            <w:r>
              <w:rPr>
                <w:sz w:val="16"/>
              </w:rPr>
              <w:t>Garza</w:t>
            </w:r>
            <w:r>
              <w:rPr>
                <w:spacing w:val="-6"/>
                <w:sz w:val="16"/>
              </w:rPr>
              <w:t> </w:t>
            </w:r>
            <w:r>
              <w:rPr>
                <w:sz w:val="16"/>
              </w:rPr>
              <w:t>García,</w:t>
            </w:r>
            <w:r>
              <w:rPr>
                <w:spacing w:val="-2"/>
                <w:sz w:val="16"/>
              </w:rPr>
              <w:t> </w:t>
            </w:r>
            <w:r>
              <w:rPr>
                <w:sz w:val="16"/>
              </w:rPr>
              <w:t>Universidad</w:t>
            </w:r>
            <w:r>
              <w:rPr>
                <w:spacing w:val="-6"/>
                <w:sz w:val="16"/>
              </w:rPr>
              <w:t> </w:t>
            </w:r>
            <w:r>
              <w:rPr>
                <w:sz w:val="16"/>
              </w:rPr>
              <w:t>Autónoma</w:t>
            </w:r>
            <w:r>
              <w:rPr>
                <w:spacing w:val="-3"/>
                <w:sz w:val="16"/>
              </w:rPr>
              <w:t> </w:t>
            </w:r>
            <w:r>
              <w:rPr>
                <w:sz w:val="16"/>
              </w:rPr>
              <w:t>de</w:t>
            </w:r>
            <w:r>
              <w:rPr>
                <w:spacing w:val="-6"/>
                <w:sz w:val="16"/>
              </w:rPr>
              <w:t> </w:t>
            </w:r>
            <w:r>
              <w:rPr>
                <w:sz w:val="16"/>
              </w:rPr>
              <w:t>Nuevo</w:t>
            </w:r>
            <w:r>
              <w:rPr>
                <w:spacing w:val="-3"/>
                <w:sz w:val="16"/>
              </w:rPr>
              <w:t> </w:t>
            </w:r>
            <w:r>
              <w:rPr>
                <w:sz w:val="16"/>
              </w:rPr>
              <w:t>León,</w:t>
            </w:r>
            <w:r>
              <w:rPr>
                <w:spacing w:val="-4"/>
                <w:sz w:val="16"/>
              </w:rPr>
              <w:t> </w:t>
            </w:r>
            <w:r>
              <w:rPr>
                <w:sz w:val="16"/>
              </w:rPr>
              <w:t>Municipio</w:t>
            </w:r>
            <w:r>
              <w:rPr>
                <w:spacing w:val="-6"/>
                <w:sz w:val="16"/>
              </w:rPr>
              <w:t> </w:t>
            </w:r>
            <w:r>
              <w:rPr>
                <w:sz w:val="16"/>
              </w:rPr>
              <w:t>Sabinas</w:t>
            </w:r>
            <w:r>
              <w:rPr>
                <w:spacing w:val="-2"/>
                <w:sz w:val="16"/>
              </w:rPr>
              <w:t> </w:t>
            </w:r>
            <w:r>
              <w:rPr>
                <w:sz w:val="16"/>
              </w:rPr>
              <w:t>Hidalgo,</w:t>
            </w:r>
            <w:r>
              <w:rPr>
                <w:spacing w:val="-2"/>
                <w:sz w:val="16"/>
              </w:rPr>
              <w:t> </w:t>
            </w:r>
            <w:r>
              <w:rPr>
                <w:sz w:val="16"/>
              </w:rPr>
              <w:t>N.L.,</w:t>
            </w:r>
            <w:r>
              <w:rPr>
                <w:spacing w:val="-7"/>
                <w:sz w:val="16"/>
              </w:rPr>
              <w:t> </w:t>
            </w:r>
            <w:r>
              <w:rPr>
                <w:sz w:val="16"/>
              </w:rPr>
              <w:t>Municipio</w:t>
            </w:r>
            <w:r>
              <w:rPr>
                <w:spacing w:val="-6"/>
                <w:sz w:val="16"/>
              </w:rPr>
              <w:t> </w:t>
            </w:r>
            <w:r>
              <w:rPr>
                <w:sz w:val="16"/>
              </w:rPr>
              <w:t>de</w:t>
            </w:r>
            <w:r>
              <w:rPr>
                <w:spacing w:val="-3"/>
                <w:sz w:val="16"/>
              </w:rPr>
              <w:t> </w:t>
            </w:r>
            <w:r>
              <w:rPr>
                <w:sz w:val="16"/>
              </w:rPr>
              <w:t>Higueras,</w:t>
            </w:r>
            <w:r>
              <w:rPr>
                <w:spacing w:val="-2"/>
                <w:sz w:val="16"/>
              </w:rPr>
              <w:t> </w:t>
            </w:r>
            <w:r>
              <w:rPr>
                <w:sz w:val="16"/>
              </w:rPr>
              <w:t>N.L.,</w:t>
            </w:r>
            <w:r>
              <w:rPr>
                <w:spacing w:val="-4"/>
                <w:sz w:val="16"/>
              </w:rPr>
              <w:t> </w:t>
            </w:r>
            <w:r>
              <w:rPr>
                <w:sz w:val="16"/>
              </w:rPr>
              <w:t>Municipio</w:t>
            </w:r>
            <w:r>
              <w:rPr>
                <w:spacing w:val="-3"/>
                <w:sz w:val="16"/>
              </w:rPr>
              <w:t> </w:t>
            </w:r>
            <w:r>
              <w:rPr>
                <w:sz w:val="16"/>
              </w:rPr>
              <w:t>de</w:t>
            </w:r>
            <w:r>
              <w:rPr>
                <w:spacing w:val="-6"/>
                <w:sz w:val="16"/>
              </w:rPr>
              <w:t> </w:t>
            </w:r>
            <w:r>
              <w:rPr>
                <w:sz w:val="16"/>
              </w:rPr>
              <w:t>Santiago,</w:t>
            </w:r>
            <w:r>
              <w:rPr>
                <w:spacing w:val="-2"/>
                <w:sz w:val="16"/>
              </w:rPr>
              <w:t> </w:t>
            </w:r>
            <w:r>
              <w:rPr>
                <w:sz w:val="16"/>
              </w:rPr>
              <w:t>N.L.,</w:t>
            </w:r>
            <w:r>
              <w:rPr>
                <w:spacing w:val="-4"/>
                <w:sz w:val="16"/>
              </w:rPr>
              <w:t> </w:t>
            </w:r>
            <w:r>
              <w:rPr>
                <w:sz w:val="16"/>
              </w:rPr>
              <w:t>Municipio de</w:t>
            </w:r>
            <w:r>
              <w:rPr>
                <w:spacing w:val="-7"/>
                <w:sz w:val="16"/>
              </w:rPr>
              <w:t> </w:t>
            </w:r>
            <w:r>
              <w:rPr>
                <w:sz w:val="16"/>
              </w:rPr>
              <w:t>Hualahuises,</w:t>
            </w:r>
            <w:r>
              <w:rPr>
                <w:spacing w:val="-8"/>
                <w:sz w:val="16"/>
              </w:rPr>
              <w:t> </w:t>
            </w:r>
            <w:r>
              <w:rPr>
                <w:sz w:val="16"/>
              </w:rPr>
              <w:t>N.L.,</w:t>
            </w:r>
            <w:r>
              <w:rPr>
                <w:spacing w:val="-10"/>
                <w:sz w:val="16"/>
              </w:rPr>
              <w:t> </w:t>
            </w:r>
            <w:r>
              <w:rPr>
                <w:sz w:val="16"/>
              </w:rPr>
              <w:t>Secretaría</w:t>
            </w:r>
            <w:r>
              <w:rPr>
                <w:spacing w:val="-7"/>
                <w:sz w:val="16"/>
              </w:rPr>
              <w:t> </w:t>
            </w:r>
            <w:r>
              <w:rPr>
                <w:sz w:val="16"/>
              </w:rPr>
              <w:t>de</w:t>
            </w:r>
            <w:r>
              <w:rPr>
                <w:spacing w:val="-7"/>
                <w:sz w:val="16"/>
              </w:rPr>
              <w:t> </w:t>
            </w:r>
            <w:r>
              <w:rPr>
                <w:sz w:val="16"/>
              </w:rPr>
              <w:t>Movilidad,</w:t>
            </w:r>
            <w:r>
              <w:rPr>
                <w:spacing w:val="-5"/>
                <w:sz w:val="16"/>
              </w:rPr>
              <w:t> </w:t>
            </w:r>
            <w:r>
              <w:rPr>
                <w:sz w:val="16"/>
              </w:rPr>
              <w:t>Universidad</w:t>
            </w:r>
            <w:r>
              <w:rPr>
                <w:spacing w:val="-9"/>
                <w:sz w:val="16"/>
              </w:rPr>
              <w:t> </w:t>
            </w:r>
            <w:r>
              <w:rPr>
                <w:sz w:val="16"/>
              </w:rPr>
              <w:t>Tecnológica</w:t>
            </w:r>
            <w:r>
              <w:rPr>
                <w:spacing w:val="-9"/>
                <w:sz w:val="16"/>
              </w:rPr>
              <w:t> </w:t>
            </w:r>
            <w:r>
              <w:rPr>
                <w:sz w:val="16"/>
              </w:rPr>
              <w:t>Bilingüe</w:t>
            </w:r>
            <w:r>
              <w:rPr>
                <w:spacing w:val="-9"/>
                <w:sz w:val="16"/>
              </w:rPr>
              <w:t> </w:t>
            </w:r>
            <w:r>
              <w:rPr>
                <w:sz w:val="16"/>
              </w:rPr>
              <w:t>Franco</w:t>
            </w:r>
            <w:r>
              <w:rPr>
                <w:spacing w:val="-9"/>
                <w:sz w:val="16"/>
              </w:rPr>
              <w:t> </w:t>
            </w:r>
            <w:r>
              <w:rPr>
                <w:sz w:val="16"/>
              </w:rPr>
              <w:t>Mexicana</w:t>
            </w:r>
            <w:r>
              <w:rPr>
                <w:spacing w:val="-9"/>
                <w:sz w:val="16"/>
              </w:rPr>
              <w:t> </w:t>
            </w:r>
            <w:r>
              <w:rPr>
                <w:sz w:val="16"/>
              </w:rPr>
              <w:t>de</w:t>
            </w:r>
            <w:r>
              <w:rPr>
                <w:spacing w:val="-9"/>
                <w:sz w:val="16"/>
              </w:rPr>
              <w:t> </w:t>
            </w:r>
            <w:r>
              <w:rPr>
                <w:sz w:val="16"/>
              </w:rPr>
              <w:t>Nuevo</w:t>
            </w:r>
            <w:r>
              <w:rPr>
                <w:spacing w:val="-7"/>
                <w:sz w:val="16"/>
              </w:rPr>
              <w:t> </w:t>
            </w:r>
            <w:r>
              <w:rPr>
                <w:sz w:val="16"/>
              </w:rPr>
              <w:t>León,</w:t>
            </w:r>
            <w:r>
              <w:rPr>
                <w:spacing w:val="-8"/>
                <w:sz w:val="16"/>
              </w:rPr>
              <w:t> </w:t>
            </w:r>
            <w:r>
              <w:rPr>
                <w:sz w:val="16"/>
              </w:rPr>
              <w:t>Colegio</w:t>
            </w:r>
            <w:r>
              <w:rPr>
                <w:spacing w:val="-9"/>
                <w:sz w:val="16"/>
              </w:rPr>
              <w:t> </w:t>
            </w:r>
            <w:r>
              <w:rPr>
                <w:sz w:val="16"/>
              </w:rPr>
              <w:t>Militarizado</w:t>
            </w:r>
            <w:r>
              <w:rPr>
                <w:spacing w:val="-9"/>
                <w:sz w:val="16"/>
              </w:rPr>
              <w:t> </w:t>
            </w:r>
            <w:r>
              <w:rPr>
                <w:sz w:val="16"/>
              </w:rPr>
              <w:t>"General</w:t>
            </w:r>
            <w:r>
              <w:rPr>
                <w:spacing w:val="-6"/>
                <w:sz w:val="16"/>
              </w:rPr>
              <w:t> </w:t>
            </w:r>
            <w:r>
              <w:rPr>
                <w:sz w:val="16"/>
              </w:rPr>
              <w:t>Mariano</w:t>
            </w:r>
            <w:r>
              <w:rPr>
                <w:spacing w:val="-9"/>
                <w:sz w:val="16"/>
              </w:rPr>
              <w:t> </w:t>
            </w:r>
            <w:r>
              <w:rPr>
                <w:sz w:val="16"/>
              </w:rPr>
              <w:t>Escobedo"</w:t>
            </w:r>
            <w:r>
              <w:rPr>
                <w:spacing w:val="-8"/>
                <w:sz w:val="16"/>
              </w:rPr>
              <w:t> </w:t>
            </w:r>
            <w:r>
              <w:rPr>
                <w:sz w:val="16"/>
              </w:rPr>
              <w:t>del</w:t>
            </w:r>
            <w:r>
              <w:rPr>
                <w:spacing w:val="-10"/>
                <w:sz w:val="16"/>
              </w:rPr>
              <w:t> </w:t>
            </w:r>
            <w:r>
              <w:rPr>
                <w:sz w:val="16"/>
              </w:rPr>
              <w:t>Estado</w:t>
            </w:r>
            <w:r>
              <w:rPr>
                <w:spacing w:val="-5"/>
                <w:sz w:val="16"/>
              </w:rPr>
              <w:t> </w:t>
            </w:r>
            <w:r>
              <w:rPr>
                <w:sz w:val="16"/>
              </w:rPr>
              <w:t>de</w:t>
            </w:r>
            <w:r>
              <w:rPr>
                <w:spacing w:val="-7"/>
                <w:sz w:val="16"/>
              </w:rPr>
              <w:t> </w:t>
            </w:r>
            <w:r>
              <w:rPr>
                <w:sz w:val="16"/>
              </w:rPr>
              <w:t>Nuevo</w:t>
            </w:r>
            <w:r>
              <w:rPr>
                <w:spacing w:val="-7"/>
                <w:sz w:val="16"/>
              </w:rPr>
              <w:t> </w:t>
            </w:r>
            <w:r>
              <w:rPr>
                <w:sz w:val="16"/>
              </w:rPr>
              <w:t>León,</w:t>
            </w:r>
            <w:r>
              <w:rPr>
                <w:spacing w:val="-8"/>
                <w:sz w:val="16"/>
              </w:rPr>
              <w:t> </w:t>
            </w:r>
            <w:r>
              <w:rPr>
                <w:sz w:val="16"/>
              </w:rPr>
              <w:t>Secretaría de Finanzas y Tesorería General del Estado, Municipio de Linares, N.L., Fideicomiso Fondo de Fomento Agropecuario, Fiscalía General de Justicia, Fideicomiso Festival Internacional De Santa Lucía, Corporación para el Desarrollo de la Zona</w:t>
            </w:r>
            <w:r>
              <w:rPr>
                <w:spacing w:val="-2"/>
                <w:sz w:val="16"/>
              </w:rPr>
              <w:t> </w:t>
            </w:r>
            <w:r>
              <w:rPr>
                <w:sz w:val="16"/>
              </w:rPr>
              <w:t>Fronteriza, Fideicomiso</w:t>
            </w:r>
            <w:r>
              <w:rPr>
                <w:spacing w:val="-2"/>
                <w:sz w:val="16"/>
              </w:rPr>
              <w:t> </w:t>
            </w:r>
            <w:r>
              <w:rPr>
                <w:sz w:val="16"/>
              </w:rPr>
              <w:t>Para La Reordenación Comercial (Firecom), Universidad</w:t>
            </w:r>
            <w:r>
              <w:rPr>
                <w:spacing w:val="-2"/>
                <w:sz w:val="16"/>
              </w:rPr>
              <w:t> </w:t>
            </w:r>
            <w:r>
              <w:rPr>
                <w:sz w:val="16"/>
              </w:rPr>
              <w:t>Tecnológica General Escobedo, Consejería</w:t>
            </w:r>
            <w:r>
              <w:rPr>
                <w:spacing w:val="-2"/>
                <w:sz w:val="16"/>
              </w:rPr>
              <w:t> </w:t>
            </w:r>
            <w:r>
              <w:rPr>
                <w:sz w:val="16"/>
              </w:rPr>
              <w:t>Jurídica, Municipio</w:t>
            </w:r>
            <w:r>
              <w:rPr>
                <w:spacing w:val="-2"/>
                <w:sz w:val="16"/>
              </w:rPr>
              <w:t> </w:t>
            </w:r>
            <w:r>
              <w:rPr>
                <w:sz w:val="16"/>
              </w:rPr>
              <w:t>de Cadereyta Jimenez, N.L., Comisión Estatal de Derechos Humanos, Municipio Santa Catarina, N.L., Municipio de General Escobedo, N.L., Municipio de Pesquería, N.L., Instituto de Defensoría Pública de Nuevo León, Oficina</w:t>
            </w:r>
            <w:r>
              <w:rPr>
                <w:spacing w:val="-1"/>
                <w:sz w:val="16"/>
              </w:rPr>
              <w:t> </w:t>
            </w:r>
            <w:r>
              <w:rPr>
                <w:sz w:val="16"/>
              </w:rPr>
              <w:t>Ejecutiva Del Gobierno Del Estado, Instituto</w:t>
            </w:r>
            <w:r>
              <w:rPr>
                <w:spacing w:val="-1"/>
                <w:sz w:val="16"/>
              </w:rPr>
              <w:t> </w:t>
            </w:r>
            <w:r>
              <w:rPr>
                <w:sz w:val="16"/>
              </w:rPr>
              <w:t>Estatal de las Personas Adultas Mayores (IEPAM), Municipio</w:t>
            </w:r>
            <w:r>
              <w:rPr>
                <w:spacing w:val="-1"/>
                <w:sz w:val="16"/>
              </w:rPr>
              <w:t> </w:t>
            </w:r>
            <w:r>
              <w:rPr>
                <w:sz w:val="16"/>
              </w:rPr>
              <w:t>El Carmen, N.L., Universidad Tecnologica Linares, Instituto de</w:t>
            </w:r>
            <w:r>
              <w:rPr>
                <w:spacing w:val="-1"/>
                <w:sz w:val="16"/>
              </w:rPr>
              <w:t> </w:t>
            </w:r>
            <w:r>
              <w:rPr>
                <w:sz w:val="16"/>
              </w:rPr>
              <w:t>Control Vehicular, Municipio de Allende, N.L., Municipio de Agualeguas, N.L., Tribunal Electoral de Nuevo León, Secretaría de Educación, Municipio de San Nicolas de los Garza, N.L., INFONL, Municipio Los Ramones, N.L., Municipio de Apodaca, N.L., Municipio de Hidalgo, N.L., Municipio de Juárez, N.L., Municipio de Dr. Coss, Poder Judicial del Estado de NL, Fideicomiso De Proyectos Estratégicos, Municipio de Parás, N.L., Fideicomiso Fondo De Apoyo Para La Creación Y Consolidación Del Empleo Productivo En El Estado De Nuevo León (Focrece), Contraloría y Transparencia Gubernamental, Municipio de Anáhuac, N.L., Municipio de Villaldama, N.L., Instituto Estatal de las Mujeres, Secretaría De Desarrollo Regional Y Agropecuario, Instituto de Movilidad y Accesibilidad de Nuevo León , Secretaría de </w:t>
            </w:r>
            <w:r>
              <w:rPr>
                <w:spacing w:val="-2"/>
                <w:sz w:val="16"/>
              </w:rPr>
              <w:t>Administración.</w:t>
            </w:r>
          </w:p>
        </w:tc>
      </w:tr>
    </w:tbl>
    <w:sectPr>
      <w:type w:val="continuous"/>
      <w:pgSz w:w="15840" w:h="12240" w:orient="landscape"/>
      <w:pgMar w:top="138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2025-12-16T16:20:18Z</dcterms:created>
  <dcterms:modified xsi:type="dcterms:W3CDTF">2025-12-16T16:20:18Z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2025-12-16T00:00:00Z</vt:filetime>
  </property>
  <property fmtid="{D5CDD505-2E9C-101B-9397-08002B2CF9AE}" pid="3" name="LastSaved">
    <vt:filetime>2025-12-16T00:00:00Z</vt:filetime>
  </property>
  <property fmtid="{D5CDD505-2E9C-101B-9397-08002B2CF9AE}" pid="4" name="Producer">
    <vt:lpwstr>iLovePDF</vt:lpwstr>
  </property>
</Properties>
</file>