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r>
        <w:rPr>
          <w:rFonts w:ascii="Times New Roman"/>
        </w:rPr>
        <mc:AlternateContent>
          <mc:Choice Requires="wps">
            <w:drawing>
              <wp:anchor distT="0" distB="0" distL="0" distR="0" allowOverlap="1" layoutInCell="1" locked="0" behindDoc="1" simplePos="0" relativeHeight="487545856">
                <wp:simplePos x="0" y="0"/>
                <wp:positionH relativeFrom="page">
                  <wp:posOffset>151129</wp:posOffset>
                </wp:positionH>
                <wp:positionV relativeFrom="page">
                  <wp:posOffset>350649</wp:posOffset>
                </wp:positionV>
                <wp:extent cx="9907270" cy="7087234"/>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9907270" cy="7087234"/>
                          <a:chExt cx="9907270" cy="7087234"/>
                        </a:xfrm>
                      </wpg:grpSpPr>
                      <pic:pic>
                        <pic:nvPicPr>
                          <pic:cNvPr id="2" name="Image 2" descr="Forma  Descripción generada automáticamente con confianza baja"/>
                          <pic:cNvPicPr/>
                        </pic:nvPicPr>
                        <pic:blipFill>
                          <a:blip r:embed="rId5" cstate="print"/>
                          <a:stretch>
                            <a:fillRect/>
                          </a:stretch>
                        </pic:blipFill>
                        <pic:spPr>
                          <a:xfrm>
                            <a:off x="0" y="0"/>
                            <a:ext cx="9907270" cy="7087105"/>
                          </a:xfrm>
                          <a:prstGeom prst="rect">
                            <a:avLst/>
                          </a:prstGeom>
                        </pic:spPr>
                      </pic:pic>
                      <wps:wsp>
                        <wps:cNvPr id="3" name="Graphic 3"/>
                        <wps:cNvSpPr/>
                        <wps:spPr>
                          <a:xfrm>
                            <a:off x="250825" y="916175"/>
                            <a:ext cx="9277350" cy="4781550"/>
                          </a:xfrm>
                          <a:custGeom>
                            <a:avLst/>
                            <a:gdLst/>
                            <a:ahLst/>
                            <a:cxnLst/>
                            <a:rect l="l" t="t" r="r" b="b"/>
                            <a:pathLst>
                              <a:path w="9277350" h="4781550">
                                <a:moveTo>
                                  <a:pt x="0" y="4781550"/>
                                </a:moveTo>
                                <a:lnTo>
                                  <a:pt x="9277350" y="4781550"/>
                                </a:lnTo>
                                <a:lnTo>
                                  <a:pt x="9277350" y="0"/>
                                </a:lnTo>
                                <a:lnTo>
                                  <a:pt x="0" y="0"/>
                                </a:lnTo>
                                <a:lnTo>
                                  <a:pt x="0" y="4781550"/>
                                </a:lnTo>
                                <a:close/>
                              </a:path>
                            </a:pathLst>
                          </a:custGeom>
                          <a:ln w="9525">
                            <a:solidFill>
                              <a:srgbClr val="000000"/>
                            </a:solidFill>
                            <a:prstDash val="solid"/>
                          </a:ln>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415290" y="2634866"/>
                            <a:ext cx="4196715" cy="2360294"/>
                          </a:xfrm>
                          <a:prstGeom prst="rect">
                            <a:avLst/>
                          </a:prstGeom>
                        </pic:spPr>
                      </pic:pic>
                    </wpg:wgp>
                  </a:graphicData>
                </a:graphic>
              </wp:anchor>
            </w:drawing>
          </mc:Choice>
          <mc:Fallback>
            <w:pict>
              <v:group style="position:absolute;margin-left:11.9pt;margin-top:27.61021pt;width:780.1pt;height:558.050pt;mso-position-horizontal-relative:page;mso-position-vertical-relative:page;z-index:-15770624" id="docshapegroup1" coordorigin="238,552" coordsize="15602,11161">
                <v:shape style="position:absolute;left:238;top:552;width:15602;height:11161" type="#_x0000_t75" id="docshape2" alt="Forma  Descripción generada automáticamente con confianza baja" stroked="false">
                  <v:imagedata r:id="rId5" o:title=""/>
                </v:shape>
                <v:rect style="position:absolute;left:633;top:1995;width:14610;height:7530" id="docshape3" filled="false" stroked="true" strokeweight=".75pt" strokecolor="#000000">
                  <v:stroke dashstyle="solid"/>
                </v:rect>
                <v:shape style="position:absolute;left:892;top:4701;width:6609;height:3717" type="#_x0000_t75" id="docshape4" stroked="false">
                  <v:imagedata r:id="rId6" o:title=""/>
                </v:shape>
                <w10:wrap type="none"/>
              </v:group>
            </w:pict>
          </mc:Fallback>
        </mc:AlternateConten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4"/>
        <w:rPr>
          <w:rFonts w:ascii="Times New Roman"/>
        </w:rPr>
      </w:pPr>
    </w:p>
    <w:p>
      <w:pPr>
        <w:pStyle w:val="Heading1"/>
        <w:spacing w:line="415" w:lineRule="auto"/>
      </w:pPr>
      <w:r>
        <w:rPr/>
        <w:t>Capacitación</w:t>
      </w:r>
      <w:r>
        <w:rPr>
          <w:spacing w:val="-5"/>
        </w:rPr>
        <w:t> </w:t>
      </w:r>
      <w:r>
        <w:rPr/>
        <w:t>Semi-presencial</w:t>
      </w:r>
      <w:r>
        <w:rPr>
          <w:spacing w:val="-5"/>
        </w:rPr>
        <w:t> </w:t>
      </w:r>
      <w:r>
        <w:rPr/>
        <w:t>dirigida</w:t>
      </w:r>
      <w:r>
        <w:rPr>
          <w:spacing w:val="-8"/>
        </w:rPr>
        <w:t> </w:t>
      </w:r>
      <w:r>
        <w:rPr/>
        <w:t>a</w:t>
      </w:r>
      <w:r>
        <w:rPr>
          <w:spacing w:val="-6"/>
        </w:rPr>
        <w:t> </w:t>
      </w:r>
      <w:r>
        <w:rPr/>
        <w:t>distintos</w:t>
      </w:r>
      <w:r>
        <w:rPr>
          <w:spacing w:val="-6"/>
        </w:rPr>
        <w:t> </w:t>
      </w:r>
      <w:r>
        <w:rPr/>
        <w:t>Servidores</w:t>
      </w:r>
      <w:r>
        <w:rPr>
          <w:spacing w:val="-8"/>
        </w:rPr>
        <w:t> </w:t>
      </w:r>
      <w:r>
        <w:rPr/>
        <w:t>Públicos Del Estado de Nuevo León.</w:t>
      </w:r>
    </w:p>
    <w:p>
      <w:pPr>
        <w:pStyle w:val="BodyText"/>
        <w:rPr>
          <w:b/>
          <w:sz w:val="20"/>
        </w:rPr>
      </w:pPr>
    </w:p>
    <w:p>
      <w:pPr>
        <w:pStyle w:val="BodyText"/>
        <w:spacing w:before="208"/>
        <w:rPr>
          <w:b/>
          <w:sz w:val="20"/>
        </w:rPr>
      </w:pPr>
    </w:p>
    <w:tbl>
      <w:tblPr>
        <w:tblW w:w="0" w:type="auto"/>
        <w:jc w:val="left"/>
        <w:tblInd w:w="72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0" w:type="dxa"/>
          <w:left w:w="0" w:type="dxa"/>
          <w:bottom w:w="0" w:type="dxa"/>
          <w:right w:w="0" w:type="dxa"/>
        </w:tblCellMar>
        <w:tblLook w:val="01E0"/>
      </w:tblPr>
      <w:tblGrid>
        <w:gridCol w:w="2432"/>
        <w:gridCol w:w="5082"/>
      </w:tblGrid>
      <w:tr>
        <w:trPr>
          <w:trHeight w:val="904" w:hRule="atLeast"/>
        </w:trPr>
        <w:tc>
          <w:tcPr>
            <w:tcW w:w="2432" w:type="dxa"/>
            <w:shd w:val="clear" w:color="auto" w:fill="BEBEBE"/>
          </w:tcPr>
          <w:p>
            <w:pPr>
              <w:pStyle w:val="TableParagraph"/>
              <w:spacing w:before="73"/>
              <w:ind w:left="0"/>
              <w:rPr>
                <w:b/>
                <w:sz w:val="22"/>
              </w:rPr>
            </w:pPr>
          </w:p>
          <w:p>
            <w:pPr>
              <w:pStyle w:val="TableParagraph"/>
              <w:rPr>
                <w:b/>
                <w:sz w:val="22"/>
              </w:rPr>
            </w:pPr>
            <w:r>
              <w:rPr>
                <w:b/>
                <w:spacing w:val="-2"/>
                <w:sz w:val="22"/>
              </w:rPr>
              <w:t>Fecha:</w:t>
            </w:r>
          </w:p>
        </w:tc>
        <w:tc>
          <w:tcPr>
            <w:tcW w:w="5082" w:type="dxa"/>
            <w:shd w:val="clear" w:color="auto" w:fill="BEBEBE"/>
          </w:tcPr>
          <w:p>
            <w:pPr>
              <w:pStyle w:val="TableParagraph"/>
              <w:spacing w:before="73"/>
              <w:ind w:left="0"/>
              <w:rPr>
                <w:b/>
                <w:sz w:val="22"/>
              </w:rPr>
            </w:pPr>
          </w:p>
          <w:p>
            <w:pPr>
              <w:pStyle w:val="TableParagraph"/>
              <w:rPr>
                <w:sz w:val="22"/>
              </w:rPr>
            </w:pPr>
            <w:r>
              <w:rPr>
                <w:sz w:val="22"/>
              </w:rPr>
              <w:t>28/</w:t>
            </w:r>
            <w:r>
              <w:rPr>
                <w:spacing w:val="-5"/>
                <w:sz w:val="22"/>
              </w:rPr>
              <w:t> </w:t>
            </w:r>
            <w:r>
              <w:rPr>
                <w:sz w:val="22"/>
              </w:rPr>
              <w:t>noviembre</w:t>
            </w:r>
            <w:r>
              <w:rPr>
                <w:spacing w:val="-6"/>
                <w:sz w:val="22"/>
              </w:rPr>
              <w:t> </w:t>
            </w:r>
            <w:r>
              <w:rPr>
                <w:spacing w:val="-2"/>
                <w:sz w:val="22"/>
              </w:rPr>
              <w:t>/2025</w:t>
            </w:r>
          </w:p>
        </w:tc>
      </w:tr>
      <w:tr>
        <w:trPr>
          <w:trHeight w:val="928" w:hRule="atLeast"/>
        </w:trPr>
        <w:tc>
          <w:tcPr>
            <w:tcW w:w="2432" w:type="dxa"/>
            <w:shd w:val="clear" w:color="auto" w:fill="BEBEBE"/>
          </w:tcPr>
          <w:p>
            <w:pPr>
              <w:pStyle w:val="TableParagraph"/>
              <w:spacing w:before="85"/>
              <w:ind w:left="0"/>
              <w:rPr>
                <w:b/>
                <w:sz w:val="22"/>
              </w:rPr>
            </w:pPr>
          </w:p>
          <w:p>
            <w:pPr>
              <w:pStyle w:val="TableParagraph"/>
              <w:rPr>
                <w:sz w:val="22"/>
              </w:rPr>
            </w:pPr>
            <w:r>
              <w:rPr>
                <w:b/>
                <w:spacing w:val="-2"/>
                <w:sz w:val="22"/>
              </w:rPr>
              <w:t>Lugar</w:t>
            </w:r>
            <w:r>
              <w:rPr>
                <w:spacing w:val="-2"/>
                <w:sz w:val="22"/>
              </w:rPr>
              <w:t>:</w:t>
            </w:r>
          </w:p>
        </w:tc>
        <w:tc>
          <w:tcPr>
            <w:tcW w:w="5082" w:type="dxa"/>
            <w:shd w:val="clear" w:color="auto" w:fill="BEBEBE"/>
          </w:tcPr>
          <w:p>
            <w:pPr>
              <w:pStyle w:val="TableParagraph"/>
              <w:spacing w:before="240"/>
              <w:rPr>
                <w:sz w:val="22"/>
              </w:rPr>
            </w:pPr>
            <w:r>
              <w:rPr>
                <w:spacing w:val="-2"/>
                <w:sz w:val="22"/>
              </w:rPr>
              <w:t>Semi-presencial</w:t>
            </w:r>
          </w:p>
        </w:tc>
      </w:tr>
      <w:tr>
        <w:trPr>
          <w:trHeight w:val="904" w:hRule="atLeast"/>
        </w:trPr>
        <w:tc>
          <w:tcPr>
            <w:tcW w:w="2432" w:type="dxa"/>
            <w:shd w:val="clear" w:color="auto" w:fill="BEBEBE"/>
          </w:tcPr>
          <w:p>
            <w:pPr>
              <w:pStyle w:val="TableParagraph"/>
              <w:spacing w:before="73"/>
              <w:ind w:left="0"/>
              <w:rPr>
                <w:b/>
                <w:sz w:val="22"/>
              </w:rPr>
            </w:pPr>
          </w:p>
          <w:p>
            <w:pPr>
              <w:pStyle w:val="TableParagraph"/>
              <w:rPr>
                <w:b/>
                <w:sz w:val="22"/>
              </w:rPr>
            </w:pPr>
            <w:r>
              <w:rPr>
                <w:b/>
                <w:spacing w:val="-2"/>
                <w:sz w:val="22"/>
              </w:rPr>
              <w:t>Hora:</w:t>
            </w:r>
          </w:p>
        </w:tc>
        <w:tc>
          <w:tcPr>
            <w:tcW w:w="5082" w:type="dxa"/>
            <w:shd w:val="clear" w:color="auto" w:fill="BEBEBE"/>
          </w:tcPr>
          <w:p>
            <w:pPr>
              <w:pStyle w:val="TableParagraph"/>
              <w:spacing w:before="73"/>
              <w:ind w:left="0"/>
              <w:rPr>
                <w:b/>
                <w:sz w:val="22"/>
              </w:rPr>
            </w:pPr>
          </w:p>
          <w:p>
            <w:pPr>
              <w:pStyle w:val="TableParagraph"/>
              <w:rPr>
                <w:sz w:val="22"/>
              </w:rPr>
            </w:pPr>
            <w:r>
              <w:rPr>
                <w:sz w:val="22"/>
              </w:rPr>
              <w:t>11:00</w:t>
            </w:r>
            <w:r>
              <w:rPr>
                <w:spacing w:val="-3"/>
                <w:sz w:val="22"/>
              </w:rPr>
              <w:t> </w:t>
            </w:r>
            <w:r>
              <w:rPr>
                <w:spacing w:val="-5"/>
                <w:sz w:val="22"/>
              </w:rPr>
              <w:t>AM</w:t>
            </w:r>
          </w:p>
        </w:tc>
      </w:tr>
      <w:tr>
        <w:trPr>
          <w:trHeight w:val="726" w:hRule="atLeast"/>
        </w:trPr>
        <w:tc>
          <w:tcPr>
            <w:tcW w:w="2432" w:type="dxa"/>
            <w:shd w:val="clear" w:color="auto" w:fill="BEBEBE"/>
          </w:tcPr>
          <w:p>
            <w:pPr>
              <w:pStyle w:val="TableParagraph"/>
              <w:spacing w:before="237"/>
              <w:rPr>
                <w:b/>
                <w:sz w:val="22"/>
              </w:rPr>
            </w:pPr>
            <w:r>
              <w:rPr>
                <w:b/>
                <w:spacing w:val="-2"/>
                <w:sz w:val="22"/>
              </w:rPr>
              <w:t>Asistentes:</w:t>
            </w:r>
          </w:p>
        </w:tc>
        <w:tc>
          <w:tcPr>
            <w:tcW w:w="5082" w:type="dxa"/>
            <w:shd w:val="clear" w:color="auto" w:fill="BEBEBE"/>
          </w:tcPr>
          <w:p>
            <w:pPr>
              <w:pStyle w:val="TableParagraph"/>
              <w:spacing w:before="237"/>
              <w:rPr>
                <w:sz w:val="22"/>
              </w:rPr>
            </w:pPr>
            <w:r>
              <w:rPr>
                <w:spacing w:val="-5"/>
                <w:sz w:val="22"/>
              </w:rPr>
              <w:t>108</w:t>
            </w:r>
          </w:p>
        </w:tc>
      </w:tr>
      <w:tr>
        <w:trPr>
          <w:trHeight w:val="726" w:hRule="atLeast"/>
        </w:trPr>
        <w:tc>
          <w:tcPr>
            <w:tcW w:w="2432" w:type="dxa"/>
            <w:tcBorders>
              <w:bottom w:val="nil"/>
            </w:tcBorders>
            <w:shd w:val="clear" w:color="auto" w:fill="BEBEBE"/>
          </w:tcPr>
          <w:p>
            <w:pPr>
              <w:pStyle w:val="TableParagraph"/>
              <w:spacing w:before="237"/>
              <w:rPr>
                <w:b/>
                <w:sz w:val="22"/>
              </w:rPr>
            </w:pPr>
            <w:r>
              <w:rPr>
                <w:b/>
                <w:sz w:val="22"/>
              </w:rPr>
              <w:t>Tema</w:t>
            </w:r>
            <w:r>
              <w:rPr>
                <w:b/>
                <w:spacing w:val="-5"/>
                <w:sz w:val="22"/>
              </w:rPr>
              <w:t> </w:t>
            </w:r>
            <w:r>
              <w:rPr>
                <w:b/>
                <w:spacing w:val="-2"/>
                <w:sz w:val="22"/>
              </w:rPr>
              <w:t>impartido:</w:t>
            </w:r>
          </w:p>
        </w:tc>
        <w:tc>
          <w:tcPr>
            <w:tcW w:w="5082" w:type="dxa"/>
            <w:tcBorders>
              <w:bottom w:val="nil"/>
            </w:tcBorders>
            <w:shd w:val="clear" w:color="auto" w:fill="BEBEBE"/>
          </w:tcPr>
          <w:p>
            <w:pPr>
              <w:pStyle w:val="TableParagraph"/>
              <w:spacing w:before="237"/>
              <w:rPr>
                <w:sz w:val="22"/>
              </w:rPr>
            </w:pPr>
            <w:r>
              <w:rPr>
                <w:sz w:val="22"/>
              </w:rPr>
              <w:t>Transparencia</w:t>
            </w:r>
            <w:r>
              <w:rPr>
                <w:spacing w:val="-15"/>
                <w:sz w:val="22"/>
              </w:rPr>
              <w:t> </w:t>
            </w:r>
            <w:r>
              <w:rPr>
                <w:spacing w:val="-2"/>
                <w:sz w:val="22"/>
              </w:rPr>
              <w:t>proactiva</w:t>
            </w:r>
          </w:p>
        </w:tc>
      </w:tr>
      <w:tr>
        <w:trPr>
          <w:trHeight w:val="590" w:hRule="atLeast"/>
        </w:trPr>
        <w:tc>
          <w:tcPr>
            <w:tcW w:w="7514" w:type="dxa"/>
            <w:gridSpan w:val="2"/>
            <w:tcBorders>
              <w:top w:val="nil"/>
              <w:bottom w:val="nil"/>
              <w:right w:val="nil"/>
            </w:tcBorders>
          </w:tcPr>
          <w:p>
            <w:pPr>
              <w:pStyle w:val="TableParagraph"/>
              <w:ind w:left="0"/>
              <w:rPr>
                <w:rFonts w:ascii="Times New Roman"/>
                <w:sz w:val="22"/>
              </w:rPr>
            </w:pPr>
          </w:p>
        </w:tc>
      </w:tr>
    </w:tbl>
    <w:p>
      <w:pPr>
        <w:pStyle w:val="BodyText"/>
        <w:spacing w:before="6"/>
        <w:rPr>
          <w:b/>
          <w:sz w:val="14"/>
        </w:rPr>
      </w:pPr>
      <w:r>
        <w:rPr>
          <w:b/>
          <w:sz w:val="14"/>
        </w:rPr>
        <mc:AlternateContent>
          <mc:Choice Requires="wps">
            <w:drawing>
              <wp:anchor distT="0" distB="0" distL="0" distR="0" allowOverlap="1" layoutInCell="1" locked="0" behindDoc="1" simplePos="0" relativeHeight="487587840">
                <wp:simplePos x="0" y="0"/>
                <wp:positionH relativeFrom="page">
                  <wp:posOffset>382904</wp:posOffset>
                </wp:positionH>
                <wp:positionV relativeFrom="paragraph">
                  <wp:posOffset>126365</wp:posOffset>
                </wp:positionV>
                <wp:extent cx="9286875" cy="1151890"/>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9286875" cy="1151890"/>
                        </a:xfrm>
                        <a:prstGeom prst="rect">
                          <a:avLst/>
                        </a:prstGeom>
                        <a:ln w="9525">
                          <a:solidFill>
                            <a:srgbClr val="000000"/>
                          </a:solidFill>
                          <a:prstDash val="solid"/>
                        </a:ln>
                      </wps:spPr>
                      <wps:txbx>
                        <w:txbxContent>
                          <w:p>
                            <w:pPr>
                              <w:pStyle w:val="BodyText"/>
                              <w:spacing w:before="74"/>
                              <w:ind w:left="143" w:right="138"/>
                              <w:jc w:val="both"/>
                            </w:pPr>
                            <w:r>
                              <w:rPr/>
                              <w:t>A esta capacitación asistieron funcionarios de Contraloría y Transparencia Gubernamental, Secretaría de Administración, Colegio de Educación Profesional Técnica del Estado de Nuevo León, Fideicomiso de Proyectos Estratégicos (FIDEPROES), Municipio Los Ramones, N.L., Municipio Guadalupe, N.L., Fideicomiso Distrito Tec, Comisión Estatal de Derechos Humanos del Estado de Nuevo León , Red Estatal de Autopistas, Instituto Estatal de Cultura Física y Deporte, Municipio General Escobedo, N.L., Municipio Sabinas Hidalgo, N.L., Instituto Municipal de Desarrollo Policial de Guadalupe, Secretaría de Igualdad e Inclusión, Sistema de Transporte Colectivo (METRORREY), Municipio Montemorelos, N.:L., Municipio San</w:t>
                            </w:r>
                            <w:r>
                              <w:rPr>
                                <w:spacing w:val="-2"/>
                              </w:rPr>
                              <w:t> </w:t>
                            </w:r>
                            <w:r>
                              <w:rPr/>
                              <w:t>Nicolas de los</w:t>
                            </w:r>
                            <w:r>
                              <w:rPr>
                                <w:spacing w:val="-2"/>
                              </w:rPr>
                              <w:t> </w:t>
                            </w:r>
                            <w:r>
                              <w:rPr/>
                              <w:t>Garza, N.L., Unidad</w:t>
                            </w:r>
                            <w:r>
                              <w:rPr>
                                <w:spacing w:val="-2"/>
                              </w:rPr>
                              <w:t> </w:t>
                            </w:r>
                            <w:r>
                              <w:rPr/>
                              <w:t>de</w:t>
                            </w:r>
                            <w:r>
                              <w:rPr>
                                <w:spacing w:val="-2"/>
                              </w:rPr>
                              <w:t> </w:t>
                            </w:r>
                            <w:r>
                              <w:rPr/>
                              <w:t>Integración</w:t>
                            </w:r>
                            <w:r>
                              <w:rPr>
                                <w:spacing w:val="-2"/>
                              </w:rPr>
                              <w:t> </w:t>
                            </w:r>
                            <w:r>
                              <w:rPr/>
                              <w:t>Educativa.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15pt;margin-top:9.950010pt;width:731.25pt;height:90.7pt;mso-position-horizontal-relative:page;mso-position-vertical-relative:paragraph;z-index:-15728640;mso-wrap-distance-left:0;mso-wrap-distance-right:0" type="#_x0000_t202" id="docshape5" filled="false" stroked="true" strokeweight=".75pt" strokecolor="#000000">
                <v:textbox inset="0,0,0,0">
                  <w:txbxContent>
                    <w:p>
                      <w:pPr>
                        <w:pStyle w:val="BodyText"/>
                        <w:spacing w:before="74"/>
                        <w:ind w:left="143" w:right="138"/>
                        <w:jc w:val="both"/>
                      </w:pPr>
                      <w:r>
                        <w:rPr/>
                        <w:t>A esta capacitación asistieron funcionarios de Contraloría y Transparencia Gubernamental, Secretaría de Administración, Colegio de Educación Profesional Técnica del Estado de Nuevo León, Fideicomiso de Proyectos Estratégicos (FIDEPROES), Municipio Los Ramones, N.L., Municipio Guadalupe, N.L., Fideicomiso Distrito Tec, Comisión Estatal de Derechos Humanos del Estado de Nuevo León , Red Estatal de Autopistas, Instituto Estatal de Cultura Física y Deporte, Municipio General Escobedo, N.L., Municipio Sabinas Hidalgo, N.L., Instituto Municipal de Desarrollo Policial de Guadalupe, Secretaría de Igualdad e Inclusión, Sistema de Transporte Colectivo (METRORREY), Municipio Montemorelos, N.:L., Municipio San</w:t>
                      </w:r>
                      <w:r>
                        <w:rPr>
                          <w:spacing w:val="-2"/>
                        </w:rPr>
                        <w:t> </w:t>
                      </w:r>
                      <w:r>
                        <w:rPr/>
                        <w:t>Nicolas de los</w:t>
                      </w:r>
                      <w:r>
                        <w:rPr>
                          <w:spacing w:val="-2"/>
                        </w:rPr>
                        <w:t> </w:t>
                      </w:r>
                      <w:r>
                        <w:rPr/>
                        <w:t>Garza, N.L., Unidad</w:t>
                      </w:r>
                      <w:r>
                        <w:rPr>
                          <w:spacing w:val="-2"/>
                        </w:rPr>
                        <w:t> </w:t>
                      </w:r>
                      <w:r>
                        <w:rPr/>
                        <w:t>de</w:t>
                      </w:r>
                      <w:r>
                        <w:rPr>
                          <w:spacing w:val="-2"/>
                        </w:rPr>
                        <w:t> </w:t>
                      </w:r>
                      <w:r>
                        <w:rPr/>
                        <w:t>Integración</w:t>
                      </w:r>
                      <w:r>
                        <w:rPr>
                          <w:spacing w:val="-2"/>
                        </w:rPr>
                        <w:t> </w:t>
                      </w:r>
                      <w:r>
                        <w:rPr/>
                        <w:t>Educativa.</w:t>
                      </w:r>
                    </w:p>
                  </w:txbxContent>
                </v:textbox>
                <v:stroke dashstyle="solid"/>
                <w10:wrap type="topAndBottom"/>
              </v:shape>
            </w:pict>
          </mc:Fallback>
        </mc:AlternateContent>
      </w:r>
    </w:p>
    <w:sectPr>
      <w:type w:val="continuous"/>
      <w:pgSz w:w="15840" w:h="12240" w:orient="landscape"/>
      <w:pgMar w:top="13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ind w:left="6046" w:right="3535" w:hanging="2442"/>
      <w:outlineLvl w:val="1"/>
    </w:pPr>
    <w:rPr>
      <w:rFonts w:ascii="Arial" w:hAnsi="Arial" w:eastAsia="Arial" w:cs="Arial"/>
      <w:b/>
      <w:bCs/>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ind w:left="107"/>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2025-12-16T19:50:58Z</dcterms:created>
  <dcterms:modified xsi:type="dcterms:W3CDTF">2025-12-16T19:50:58Z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LastSaved">
    <vt:filetime>2025-12-16T00:00:00Z</vt:filetime>
  </property>
  <property fmtid="{D5CDD505-2E9C-101B-9397-08002B2CF9AE}" pid="4" name="Producer">
    <vt:lpwstr>iLovePDF</vt:lpwstr>
  </property>
</Properties>
</file>