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</w:rPr>
      </w:pPr>
      <w:r>
        <w:rPr>
          <w:rFonts w:ascii="Times New Roman"/>
        </w:rPr>
        <mc:AlternateContent>
          <mc:Choice Requires="wps">
            <w:drawing>
              <wp:anchor distT="0" distB="0" distL="0" distR="0" allowOverlap="1" layoutInCell="1" locked="0" behindDoc="1" simplePos="0" relativeHeight="487545344">
                <wp:simplePos x="0" y="0"/>
                <wp:positionH relativeFrom="page">
                  <wp:posOffset>151129</wp:posOffset>
                </wp:positionH>
                <wp:positionV relativeFrom="page">
                  <wp:posOffset>350649</wp:posOffset>
                </wp:positionV>
                <wp:extent cx="9907270" cy="711009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9907270" cy="7110095"/>
                          <a:chExt cx="9907270" cy="7110095"/>
                        </a:xfrm>
                      </wpg:grpSpPr>
                      <pic:pic>
                        <pic:nvPicPr>
                          <pic:cNvPr id="2" name="Image 2" descr="Forma  Descripción generada automáticamente con confianza baja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7270" cy="7087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250825" y="916175"/>
                            <a:ext cx="9277350" cy="4781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77350" h="4781550">
                                <a:moveTo>
                                  <a:pt x="0" y="4781550"/>
                                </a:moveTo>
                                <a:lnTo>
                                  <a:pt x="9277350" y="4781550"/>
                                </a:lnTo>
                                <a:lnTo>
                                  <a:pt x="92773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78155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5290" y="2634866"/>
                            <a:ext cx="4196715" cy="23602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231775" y="5821550"/>
                            <a:ext cx="9286875" cy="128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86875" h="1288415">
                                <a:moveTo>
                                  <a:pt x="92868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88415"/>
                                </a:lnTo>
                                <a:lnTo>
                                  <a:pt x="9286875" y="1288415"/>
                                </a:lnTo>
                                <a:lnTo>
                                  <a:pt x="92868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.9pt;margin-top:27.61021pt;width:780.1pt;height:559.85pt;mso-position-horizontal-relative:page;mso-position-vertical-relative:page;z-index:-15771136" id="docshapegroup1" coordorigin="238,552" coordsize="15602,11197">
                <v:shape style="position:absolute;left:238;top:552;width:15602;height:11161" type="#_x0000_t75" id="docshape2" alt="Forma  Descripción generada automáticamente con confianza baja" stroked="false">
                  <v:imagedata r:id="rId5" o:title=""/>
                </v:shape>
                <v:rect style="position:absolute;left:633;top:1995;width:14610;height:7530" id="docshape3" filled="false" stroked="true" strokeweight=".75pt" strokecolor="#000000">
                  <v:stroke dashstyle="solid"/>
                </v:rect>
                <v:shape style="position:absolute;left:892;top:4701;width:6609;height:3717" type="#_x0000_t75" id="docshape4" stroked="false">
                  <v:imagedata r:id="rId6" o:title=""/>
                </v:shape>
                <v:rect style="position:absolute;left:603;top:9720;width:14625;height:2029" id="docshape5" filled="true" fillcolor="#ffffff" stroked="false">
                  <v:fill type="solid"/>
                </v:rect>
                <w10:wrap type="none"/>
              </v:group>
            </w:pict>
          </mc:Fallback>
        </mc:AlternateContent>
      </w: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34"/>
        <w:rPr>
          <w:rFonts w:ascii="Times New Roman"/>
        </w:rPr>
      </w:pPr>
    </w:p>
    <w:p>
      <w:pPr>
        <w:pStyle w:val="Heading1"/>
        <w:spacing w:line="415" w:lineRule="auto"/>
      </w:pPr>
      <w:r>
        <w:rPr/>
        <w:t>Capacitación</w:t>
      </w:r>
      <w:r>
        <w:rPr>
          <w:spacing w:val="-5"/>
        </w:rPr>
        <w:t> </w:t>
      </w:r>
      <w:r>
        <w:rPr/>
        <w:t>Semi-presencial</w:t>
      </w:r>
      <w:r>
        <w:rPr>
          <w:spacing w:val="-5"/>
        </w:rPr>
        <w:t> </w:t>
      </w:r>
      <w:r>
        <w:rPr/>
        <w:t>dirigida</w:t>
      </w:r>
      <w:r>
        <w:rPr>
          <w:spacing w:val="-8"/>
        </w:rPr>
        <w:t> </w:t>
      </w:r>
      <w:r>
        <w:rPr/>
        <w:t>a</w:t>
      </w:r>
      <w:r>
        <w:rPr>
          <w:spacing w:val="-6"/>
        </w:rPr>
        <w:t> </w:t>
      </w:r>
      <w:r>
        <w:rPr/>
        <w:t>distintos</w:t>
      </w:r>
      <w:r>
        <w:rPr>
          <w:spacing w:val="-6"/>
        </w:rPr>
        <w:t> </w:t>
      </w:r>
      <w:r>
        <w:rPr/>
        <w:t>Servidores</w:t>
      </w:r>
      <w:r>
        <w:rPr>
          <w:spacing w:val="-8"/>
        </w:rPr>
        <w:t> </w:t>
      </w:r>
      <w:r>
        <w:rPr/>
        <w:t>Públicos Del Estado de Nuevo León.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08"/>
        <w:rPr>
          <w:b/>
          <w:sz w:val="20"/>
        </w:rPr>
      </w:pPr>
    </w:p>
    <w:tbl>
      <w:tblPr>
        <w:tblW w:w="0" w:type="auto"/>
        <w:jc w:val="left"/>
        <w:tblInd w:w="725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2"/>
        <w:gridCol w:w="5082"/>
      </w:tblGrid>
      <w:tr>
        <w:trPr>
          <w:trHeight w:val="904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Fecha: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25/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noviembre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/2025</w:t>
            </w:r>
          </w:p>
        </w:tc>
      </w:tr>
      <w:tr>
        <w:trPr>
          <w:trHeight w:val="928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85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b/>
                <w:spacing w:val="-2"/>
                <w:sz w:val="22"/>
              </w:rPr>
              <w:t>Lugar</w:t>
            </w:r>
            <w:r>
              <w:rPr>
                <w:spacing w:val="-2"/>
                <w:sz w:val="22"/>
              </w:rPr>
              <w:t>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240"/>
              <w:rPr>
                <w:sz w:val="22"/>
              </w:rPr>
            </w:pPr>
            <w:r>
              <w:rPr>
                <w:spacing w:val="-2"/>
                <w:sz w:val="22"/>
              </w:rPr>
              <w:t>Semi-presencial</w:t>
            </w:r>
          </w:p>
        </w:tc>
      </w:tr>
      <w:tr>
        <w:trPr>
          <w:trHeight w:val="904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Hora: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11:00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AM</w:t>
            </w:r>
          </w:p>
        </w:tc>
      </w:tr>
      <w:tr>
        <w:trPr>
          <w:trHeight w:val="726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23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Asistentes: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237"/>
              <w:rPr>
                <w:sz w:val="22"/>
              </w:rPr>
            </w:pPr>
            <w:r>
              <w:rPr>
                <w:spacing w:val="-5"/>
                <w:sz w:val="22"/>
              </w:rPr>
              <w:t>69</w:t>
            </w:r>
          </w:p>
        </w:tc>
      </w:tr>
      <w:tr>
        <w:trPr>
          <w:trHeight w:val="726" w:hRule="atLeast"/>
        </w:trPr>
        <w:tc>
          <w:tcPr>
            <w:tcW w:w="2432" w:type="dxa"/>
            <w:tcBorders>
              <w:bottom w:val="nil"/>
            </w:tcBorders>
            <w:shd w:val="clear" w:color="auto" w:fill="BEBEBE"/>
          </w:tcPr>
          <w:p>
            <w:pPr>
              <w:pStyle w:val="TableParagraph"/>
              <w:spacing w:before="237"/>
              <w:rPr>
                <w:b/>
                <w:sz w:val="22"/>
              </w:rPr>
            </w:pPr>
            <w:r>
              <w:rPr>
                <w:b/>
                <w:sz w:val="22"/>
              </w:rPr>
              <w:t>Tema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impartido:</w:t>
            </w:r>
          </w:p>
        </w:tc>
        <w:tc>
          <w:tcPr>
            <w:tcW w:w="5082" w:type="dxa"/>
            <w:tcBorders>
              <w:bottom w:val="nil"/>
            </w:tcBorders>
            <w:shd w:val="clear" w:color="auto" w:fill="BEBEBE"/>
          </w:tcPr>
          <w:p>
            <w:pPr>
              <w:pStyle w:val="TableParagraph"/>
              <w:spacing w:before="110"/>
              <w:ind w:right="95"/>
              <w:rPr>
                <w:sz w:val="22"/>
              </w:rPr>
            </w:pPr>
            <w:r>
              <w:rPr>
                <w:sz w:val="22"/>
              </w:rPr>
              <w:t>Funciones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Unidad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y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Comité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 </w:t>
            </w:r>
            <w:r>
              <w:rPr>
                <w:spacing w:val="-2"/>
                <w:sz w:val="22"/>
              </w:rPr>
              <w:t>Transparencia</w:t>
            </w:r>
          </w:p>
        </w:tc>
      </w:tr>
      <w:tr>
        <w:trPr>
          <w:trHeight w:val="590" w:hRule="atLeast"/>
        </w:trPr>
        <w:tc>
          <w:tcPr>
            <w:tcW w:w="7514" w:type="dxa"/>
            <w:gridSpan w:val="2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6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382904</wp:posOffset>
                </wp:positionH>
                <wp:positionV relativeFrom="paragraph">
                  <wp:posOffset>126365</wp:posOffset>
                </wp:positionV>
                <wp:extent cx="9286875" cy="1288415"/>
                <wp:effectExtent l="0" t="0" r="0" b="0"/>
                <wp:wrapTopAndBottom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9286875" cy="128841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74"/>
                              <w:ind w:left="143" w:right="138"/>
                              <w:jc w:val="both"/>
                            </w:pPr>
                            <w:r>
                              <w:rPr/>
                              <w:t>A esta capacitación asistieron funcionarios de Colegio de Educación Profesional Técnica del Estado de Nuevo León, Secretaría de Administración,</w:t>
                            </w:r>
                            <w:r>
                              <w:rPr>
                                <w:spacing w:val="-12"/>
                              </w:rPr>
                              <w:t> </w:t>
                            </w:r>
                            <w:r>
                              <w:rPr/>
                              <w:t>Municipio</w:t>
                            </w:r>
                            <w:r>
                              <w:rPr>
                                <w:spacing w:val="-10"/>
                              </w:rPr>
                              <w:t> </w:t>
                            </w:r>
                            <w:r>
                              <w:rPr/>
                              <w:t>Los</w:t>
                            </w:r>
                            <w:r>
                              <w:rPr>
                                <w:spacing w:val="-10"/>
                              </w:rPr>
                              <w:t> </w:t>
                            </w:r>
                            <w:r>
                              <w:rPr/>
                              <w:t>Ramones,</w:t>
                            </w:r>
                            <w:r>
                              <w:rPr>
                                <w:spacing w:val="-10"/>
                              </w:rPr>
                              <w:t> </w:t>
                            </w:r>
                            <w:r>
                              <w:rPr/>
                              <w:t>N.L.,</w:t>
                            </w:r>
                            <w:r>
                              <w:rPr>
                                <w:spacing w:val="-10"/>
                              </w:rPr>
                              <w:t> </w:t>
                            </w:r>
                            <w:r>
                              <w:rPr/>
                              <w:t>Municipio</w:t>
                            </w:r>
                            <w:r>
                              <w:rPr>
                                <w:spacing w:val="-12"/>
                              </w:rPr>
                              <w:t> </w:t>
                            </w:r>
                            <w:r>
                              <w:rPr/>
                              <w:t>Sabinas</w:t>
                            </w:r>
                            <w:r>
                              <w:rPr>
                                <w:spacing w:val="-13"/>
                              </w:rPr>
                              <w:t> </w:t>
                            </w:r>
                            <w:r>
                              <w:rPr/>
                              <w:t>Hidalgo,</w:t>
                            </w:r>
                            <w:r>
                              <w:rPr>
                                <w:spacing w:val="-10"/>
                              </w:rPr>
                              <w:t> </w:t>
                            </w:r>
                            <w:r>
                              <w:rPr/>
                              <w:t>N.L.,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/>
                              <w:t>Unidad</w:t>
                            </w:r>
                            <w:r>
                              <w:rPr>
                                <w:spacing w:val="-12"/>
                              </w:rPr>
                              <w:t> </w:t>
                            </w:r>
                            <w:r>
                              <w:rPr/>
                              <w:t>de</w:t>
                            </w:r>
                            <w:r>
                              <w:rPr>
                                <w:spacing w:val="-12"/>
                              </w:rPr>
                              <w:t> </w:t>
                            </w:r>
                            <w:r>
                              <w:rPr/>
                              <w:t>Integración</w:t>
                            </w:r>
                            <w:r>
                              <w:rPr>
                                <w:spacing w:val="-12"/>
                              </w:rPr>
                              <w:t> </w:t>
                            </w:r>
                            <w:r>
                              <w:rPr/>
                              <w:t>Educativa,</w:t>
                            </w:r>
                            <w:r>
                              <w:rPr>
                                <w:spacing w:val="-12"/>
                              </w:rPr>
                              <w:t> </w:t>
                            </w:r>
                            <w:r>
                              <w:rPr/>
                              <w:t>Municipio</w:t>
                            </w:r>
                            <w:r>
                              <w:rPr>
                                <w:spacing w:val="-10"/>
                              </w:rPr>
                              <w:t> </w:t>
                            </w:r>
                            <w:r>
                              <w:rPr/>
                              <w:t>Guadalupe, N.L., Municipio San Nicolas de los Garza, N.L., Servicios de Salud de Nuevo León O.P.D., Red Estatal de Autopistas, Secretaría de Seguridad, Instituto Municipal de Planeación y Gestión Urbana del Municipio de San Pedro Garza García, Nuevo León, Municipio General Escobedo, N.L., Secretaría de Salud, Instituto Municipal de Desarrollo Policial de Guadalupe, Secretaria de Educacion..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30.15pt;margin-top:9.950010pt;width:731.25pt;height:101.45pt;mso-position-horizontal-relative:page;mso-position-vertical-relative:paragraph;z-index:-15728640;mso-wrap-distance-left:0;mso-wrap-distance-right:0" type="#_x0000_t202" id="docshape6" filled="false" stroked="true" strokeweight=".75pt" strokecolor="#000000">
                <v:textbox inset="0,0,0,0">
                  <w:txbxContent>
                    <w:p>
                      <w:pPr>
                        <w:pStyle w:val="BodyText"/>
                        <w:spacing w:before="74"/>
                        <w:ind w:left="143" w:right="138"/>
                        <w:jc w:val="both"/>
                      </w:pPr>
                      <w:r>
                        <w:rPr/>
                        <w:t>A esta capacitación asistieron funcionarios de Colegio de Educación Profesional Técnica del Estado de Nuevo León, Secretaría de Administración,</w:t>
                      </w:r>
                      <w:r>
                        <w:rPr>
                          <w:spacing w:val="-12"/>
                        </w:rPr>
                        <w:t> </w:t>
                      </w:r>
                      <w:r>
                        <w:rPr/>
                        <w:t>Municipio</w:t>
                      </w:r>
                      <w:r>
                        <w:rPr>
                          <w:spacing w:val="-10"/>
                        </w:rPr>
                        <w:t> </w:t>
                      </w:r>
                      <w:r>
                        <w:rPr/>
                        <w:t>Los</w:t>
                      </w:r>
                      <w:r>
                        <w:rPr>
                          <w:spacing w:val="-10"/>
                        </w:rPr>
                        <w:t> </w:t>
                      </w:r>
                      <w:r>
                        <w:rPr/>
                        <w:t>Ramones,</w:t>
                      </w:r>
                      <w:r>
                        <w:rPr>
                          <w:spacing w:val="-10"/>
                        </w:rPr>
                        <w:t> </w:t>
                      </w:r>
                      <w:r>
                        <w:rPr/>
                        <w:t>N.L.,</w:t>
                      </w:r>
                      <w:r>
                        <w:rPr>
                          <w:spacing w:val="-10"/>
                        </w:rPr>
                        <w:t> </w:t>
                      </w:r>
                      <w:r>
                        <w:rPr/>
                        <w:t>Municipio</w:t>
                      </w:r>
                      <w:r>
                        <w:rPr>
                          <w:spacing w:val="-12"/>
                        </w:rPr>
                        <w:t> </w:t>
                      </w:r>
                      <w:r>
                        <w:rPr/>
                        <w:t>Sabinas</w:t>
                      </w:r>
                      <w:r>
                        <w:rPr>
                          <w:spacing w:val="-13"/>
                        </w:rPr>
                        <w:t> </w:t>
                      </w:r>
                      <w:r>
                        <w:rPr/>
                        <w:t>Hidalgo,</w:t>
                      </w:r>
                      <w:r>
                        <w:rPr>
                          <w:spacing w:val="-10"/>
                        </w:rPr>
                        <w:t> </w:t>
                      </w:r>
                      <w:r>
                        <w:rPr/>
                        <w:t>N.L.,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/>
                        <w:t>Unidad</w:t>
                      </w:r>
                      <w:r>
                        <w:rPr>
                          <w:spacing w:val="-12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-12"/>
                        </w:rPr>
                        <w:t> </w:t>
                      </w:r>
                      <w:r>
                        <w:rPr/>
                        <w:t>Integración</w:t>
                      </w:r>
                      <w:r>
                        <w:rPr>
                          <w:spacing w:val="-12"/>
                        </w:rPr>
                        <w:t> </w:t>
                      </w:r>
                      <w:r>
                        <w:rPr/>
                        <w:t>Educativa,</w:t>
                      </w:r>
                      <w:r>
                        <w:rPr>
                          <w:spacing w:val="-12"/>
                        </w:rPr>
                        <w:t> </w:t>
                      </w:r>
                      <w:r>
                        <w:rPr/>
                        <w:t>Municipio</w:t>
                      </w:r>
                      <w:r>
                        <w:rPr>
                          <w:spacing w:val="-10"/>
                        </w:rPr>
                        <w:t> </w:t>
                      </w:r>
                      <w:r>
                        <w:rPr/>
                        <w:t>Guadalupe, N.L., Municipio San Nicolas de los Garza, N.L., Servicios de Salud de Nuevo León O.P.D., Red Estatal de Autopistas, Secretaría de Seguridad, Instituto Municipal de Planeación y Gestión Urbana del Municipio de San Pedro Garza García, Nuevo León, Municipio General Escobedo, N.L., Secretaría de Salud, Instituto Municipal de Desarrollo Policial de Guadalupe, Secretaria de Educacion..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sectPr>
      <w:type w:val="continuous"/>
      <w:pgSz w:w="15840" w:h="12240" w:orient="landscape"/>
      <w:pgMar w:top="1380" w:bottom="28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4"/>
      <w:szCs w:val="24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6046" w:right="3535" w:hanging="2442"/>
      <w:outlineLvl w:val="1"/>
    </w:pPr>
    <w:rPr>
      <w:rFonts w:ascii="Arial" w:hAnsi="Arial" w:eastAsia="Arial" w:cs="Arial"/>
      <w:b/>
      <w:bCs/>
      <w:sz w:val="24"/>
      <w:szCs w:val="24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2025-12-16T19:48:34Z</dcterms:created>
  <dcterms:modified xsi:type="dcterms:W3CDTF">2025-12-16T19:48:34Z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2025-12-16T00:00:00Z</vt:filetime>
  </property>
  <property fmtid="{D5CDD505-2E9C-101B-9397-08002B2CF9AE}" pid="3" name="LastSaved">
    <vt:filetime>2025-12-16T00:00:00Z</vt:filetime>
  </property>
  <property fmtid="{D5CDD505-2E9C-101B-9397-08002B2CF9AE}" pid="4" name="Producer">
    <vt:lpwstr>iLovePDF</vt:lpwstr>
  </property>
</Properties>
</file>