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mc:AlternateContent>
          <mc:Choice Requires="wps">
            <w:drawing>
              <wp:anchor distT="0" distB="0" distL="0" distR="0" allowOverlap="1" layoutInCell="1" locked="0" behindDoc="1" simplePos="0" relativeHeight="487546880">
                <wp:simplePos x="0" y="0"/>
                <wp:positionH relativeFrom="page">
                  <wp:posOffset>151129</wp:posOffset>
                </wp:positionH>
                <wp:positionV relativeFrom="page">
                  <wp:posOffset>350649</wp:posOffset>
                </wp:positionV>
                <wp:extent cx="9907270" cy="7087234"/>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9907270" cy="7087234"/>
                          <a:chExt cx="9907270" cy="7087234"/>
                        </a:xfrm>
                      </wpg:grpSpPr>
                      <pic:pic>
                        <pic:nvPicPr>
                          <pic:cNvPr id="2" name="Image 2" descr="Forma  Descripción generada automáticamente con confianza baja"/>
                          <pic:cNvPicPr/>
                        </pic:nvPicPr>
                        <pic:blipFill>
                          <a:blip r:embed="rId5" cstate="print"/>
                          <a:stretch>
                            <a:fillRect/>
                          </a:stretch>
                        </pic:blipFill>
                        <pic:spPr>
                          <a:xfrm>
                            <a:off x="0" y="0"/>
                            <a:ext cx="9907270" cy="7087105"/>
                          </a:xfrm>
                          <a:prstGeom prst="rect">
                            <a:avLst/>
                          </a:prstGeom>
                        </pic:spPr>
                      </pic:pic>
                      <wps:wsp>
                        <wps:cNvPr id="3" name="Graphic 3"/>
                        <wps:cNvSpPr/>
                        <wps:spPr>
                          <a:xfrm>
                            <a:off x="250825" y="916175"/>
                            <a:ext cx="9277350" cy="4781550"/>
                          </a:xfrm>
                          <a:custGeom>
                            <a:avLst/>
                            <a:gdLst/>
                            <a:ahLst/>
                            <a:cxnLst/>
                            <a:rect l="l" t="t" r="r" b="b"/>
                            <a:pathLst>
                              <a:path w="9277350" h="4781550">
                                <a:moveTo>
                                  <a:pt x="0" y="4781550"/>
                                </a:moveTo>
                                <a:lnTo>
                                  <a:pt x="9277350" y="4781550"/>
                                </a:lnTo>
                                <a:lnTo>
                                  <a:pt x="9277350" y="0"/>
                                </a:lnTo>
                                <a:lnTo>
                                  <a:pt x="0" y="0"/>
                                </a:lnTo>
                                <a:lnTo>
                                  <a:pt x="0" y="4781550"/>
                                </a:lnTo>
                                <a:close/>
                              </a:path>
                            </a:pathLst>
                          </a:custGeom>
                          <a:ln w="9525">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415290" y="2634866"/>
                            <a:ext cx="4196715" cy="2360294"/>
                          </a:xfrm>
                          <a:prstGeom prst="rect">
                            <a:avLst/>
                          </a:prstGeom>
                        </pic:spPr>
                      </pic:pic>
                      <wps:wsp>
                        <wps:cNvPr id="5" name="Graphic 5"/>
                        <wps:cNvSpPr/>
                        <wps:spPr>
                          <a:xfrm>
                            <a:off x="231775" y="5705980"/>
                            <a:ext cx="9286875" cy="1327150"/>
                          </a:xfrm>
                          <a:custGeom>
                            <a:avLst/>
                            <a:gdLst/>
                            <a:ahLst/>
                            <a:cxnLst/>
                            <a:rect l="l" t="t" r="r" b="b"/>
                            <a:pathLst>
                              <a:path w="9286875" h="1327150">
                                <a:moveTo>
                                  <a:pt x="0" y="1327150"/>
                                </a:moveTo>
                                <a:lnTo>
                                  <a:pt x="9286875" y="1327150"/>
                                </a:lnTo>
                                <a:lnTo>
                                  <a:pt x="9286875" y="0"/>
                                </a:lnTo>
                                <a:lnTo>
                                  <a:pt x="0" y="0"/>
                                </a:lnTo>
                                <a:lnTo>
                                  <a:pt x="0" y="13271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9pt;margin-top:27.61021pt;width:780.1pt;height:558.050pt;mso-position-horizontal-relative:page;mso-position-vertical-relative:page;z-index:-15769600" id="docshapegroup1" coordorigin="238,552" coordsize="15602,11161">
                <v:shape style="position:absolute;left:238;top:552;width:15602;height:11161" type="#_x0000_t75" id="docshape2" alt="Forma  Descripción generada automáticamente con confianza baja" stroked="false">
                  <v:imagedata r:id="rId5" o:title=""/>
                </v:shape>
                <v:rect style="position:absolute;left:633;top:1995;width:14610;height:7530" id="docshape3" filled="false" stroked="true" strokeweight=".75pt" strokecolor="#000000">
                  <v:stroke dashstyle="solid"/>
                </v:rect>
                <v:shape style="position:absolute;left:892;top:4701;width:6609;height:3717" type="#_x0000_t75" id="docshape4" stroked="false">
                  <v:imagedata r:id="rId6" o:title=""/>
                </v:shape>
                <v:rect style="position:absolute;left:603;top:9538;width:14625;height:2090" id="docshape5" filled="false" stroked="true" strokeweight=".75pt" strokecolor="#000000">
                  <v:stroke dashstyle="solid"/>
                </v:rect>
                <w10:wrap type="none"/>
              </v:group>
            </w:pict>
          </mc:Fallback>
        </mc:AlternateConten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4"/>
        <w:rPr>
          <w:rFonts w:ascii="Times New Roman"/>
        </w:rPr>
      </w:pPr>
    </w:p>
    <w:p>
      <w:pPr>
        <w:pStyle w:val="Heading1"/>
        <w:spacing w:line="415" w:lineRule="auto"/>
      </w:pPr>
      <w:r>
        <w:rPr/>
        <w:t>Capacitación</w:t>
      </w:r>
      <w:r>
        <w:rPr>
          <w:spacing w:val="-5"/>
        </w:rPr>
        <w:t> </w:t>
      </w:r>
      <w:r>
        <w:rPr/>
        <w:t>Semi-presencial</w:t>
      </w:r>
      <w:r>
        <w:rPr>
          <w:spacing w:val="-5"/>
        </w:rPr>
        <w:t> </w:t>
      </w:r>
      <w:r>
        <w:rPr/>
        <w:t>dirigida</w:t>
      </w:r>
      <w:r>
        <w:rPr>
          <w:spacing w:val="-8"/>
        </w:rPr>
        <w:t> </w:t>
      </w:r>
      <w:r>
        <w:rPr/>
        <w:t>a</w:t>
      </w:r>
      <w:r>
        <w:rPr>
          <w:spacing w:val="-6"/>
        </w:rPr>
        <w:t> </w:t>
      </w:r>
      <w:r>
        <w:rPr/>
        <w:t>distintos</w:t>
      </w:r>
      <w:r>
        <w:rPr>
          <w:spacing w:val="-6"/>
        </w:rPr>
        <w:t> </w:t>
      </w:r>
      <w:r>
        <w:rPr/>
        <w:t>Servidores</w:t>
      </w:r>
      <w:r>
        <w:rPr>
          <w:spacing w:val="-8"/>
        </w:rPr>
        <w:t> </w:t>
      </w:r>
      <w:r>
        <w:rPr/>
        <w:t>Públicos Del Estado de Nuevo León.</w:t>
      </w:r>
    </w:p>
    <w:p>
      <w:pPr>
        <w:pStyle w:val="BodyText"/>
        <w:rPr>
          <w:b/>
          <w:sz w:val="20"/>
        </w:rPr>
      </w:pPr>
    </w:p>
    <w:p>
      <w:pPr>
        <w:pStyle w:val="BodyText"/>
        <w:spacing w:before="208"/>
        <w:rPr>
          <w:b/>
          <w:sz w:val="20"/>
        </w:rPr>
      </w:pPr>
    </w:p>
    <w:tbl>
      <w:tblPr>
        <w:tblW w:w="0" w:type="auto"/>
        <w:jc w:val="left"/>
        <w:tblInd w:w="68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0" w:type="dxa"/>
          <w:left w:w="0" w:type="dxa"/>
          <w:bottom w:w="0" w:type="dxa"/>
          <w:right w:w="0" w:type="dxa"/>
        </w:tblCellMar>
        <w:tblLook w:val="01E0"/>
      </w:tblPr>
      <w:tblGrid>
        <w:gridCol w:w="2432"/>
        <w:gridCol w:w="5082"/>
      </w:tblGrid>
      <w:tr>
        <w:trPr>
          <w:trHeight w:val="904" w:hRule="atLeast"/>
        </w:trPr>
        <w:tc>
          <w:tcPr>
            <w:tcW w:w="2432" w:type="dxa"/>
            <w:shd w:val="clear" w:color="auto" w:fill="BEBEBE"/>
          </w:tcPr>
          <w:p>
            <w:pPr>
              <w:pStyle w:val="TableParagraph"/>
              <w:spacing w:before="73"/>
              <w:ind w:left="0"/>
              <w:rPr>
                <w:b/>
                <w:sz w:val="22"/>
              </w:rPr>
            </w:pPr>
          </w:p>
          <w:p>
            <w:pPr>
              <w:pStyle w:val="TableParagraph"/>
              <w:rPr>
                <w:b/>
                <w:sz w:val="22"/>
              </w:rPr>
            </w:pPr>
            <w:r>
              <w:rPr>
                <w:b/>
                <w:spacing w:val="-2"/>
                <w:sz w:val="22"/>
              </w:rPr>
              <w:t>Fecha:</w:t>
            </w:r>
          </w:p>
        </w:tc>
        <w:tc>
          <w:tcPr>
            <w:tcW w:w="5082" w:type="dxa"/>
            <w:shd w:val="clear" w:color="auto" w:fill="BEBEBE"/>
          </w:tcPr>
          <w:p>
            <w:pPr>
              <w:pStyle w:val="TableParagraph"/>
              <w:spacing w:before="73"/>
              <w:ind w:left="0"/>
              <w:rPr>
                <w:b/>
                <w:sz w:val="22"/>
              </w:rPr>
            </w:pPr>
          </w:p>
          <w:p>
            <w:pPr>
              <w:pStyle w:val="TableParagraph"/>
              <w:rPr>
                <w:sz w:val="22"/>
              </w:rPr>
            </w:pPr>
            <w:r>
              <w:rPr>
                <w:sz w:val="22"/>
              </w:rPr>
              <w:t>18/</w:t>
            </w:r>
            <w:r>
              <w:rPr>
                <w:spacing w:val="-5"/>
                <w:sz w:val="22"/>
              </w:rPr>
              <w:t> </w:t>
            </w:r>
            <w:r>
              <w:rPr>
                <w:sz w:val="22"/>
              </w:rPr>
              <w:t>noviembre</w:t>
            </w:r>
            <w:r>
              <w:rPr>
                <w:spacing w:val="-6"/>
                <w:sz w:val="22"/>
              </w:rPr>
              <w:t> </w:t>
            </w:r>
            <w:r>
              <w:rPr>
                <w:spacing w:val="-2"/>
                <w:sz w:val="22"/>
              </w:rPr>
              <w:t>/2025</w:t>
            </w:r>
          </w:p>
        </w:tc>
      </w:tr>
      <w:tr>
        <w:trPr>
          <w:trHeight w:val="928" w:hRule="atLeast"/>
        </w:trPr>
        <w:tc>
          <w:tcPr>
            <w:tcW w:w="2432" w:type="dxa"/>
            <w:shd w:val="clear" w:color="auto" w:fill="BEBEBE"/>
          </w:tcPr>
          <w:p>
            <w:pPr>
              <w:pStyle w:val="TableParagraph"/>
              <w:spacing w:before="85"/>
              <w:ind w:left="0"/>
              <w:rPr>
                <w:b/>
                <w:sz w:val="22"/>
              </w:rPr>
            </w:pPr>
          </w:p>
          <w:p>
            <w:pPr>
              <w:pStyle w:val="TableParagraph"/>
              <w:rPr>
                <w:sz w:val="22"/>
              </w:rPr>
            </w:pPr>
            <w:r>
              <w:rPr>
                <w:b/>
                <w:spacing w:val="-2"/>
                <w:sz w:val="22"/>
              </w:rPr>
              <w:t>Lugar</w:t>
            </w:r>
            <w:r>
              <w:rPr>
                <w:spacing w:val="-2"/>
                <w:sz w:val="22"/>
              </w:rPr>
              <w:t>:</w:t>
            </w:r>
          </w:p>
        </w:tc>
        <w:tc>
          <w:tcPr>
            <w:tcW w:w="5082" w:type="dxa"/>
            <w:shd w:val="clear" w:color="auto" w:fill="BEBEBE"/>
          </w:tcPr>
          <w:p>
            <w:pPr>
              <w:pStyle w:val="TableParagraph"/>
              <w:spacing w:before="240"/>
              <w:rPr>
                <w:sz w:val="22"/>
              </w:rPr>
            </w:pPr>
            <w:r>
              <w:rPr>
                <w:spacing w:val="-2"/>
                <w:sz w:val="22"/>
              </w:rPr>
              <w:t>Semi-presencial</w:t>
            </w:r>
          </w:p>
        </w:tc>
      </w:tr>
      <w:tr>
        <w:trPr>
          <w:trHeight w:val="904" w:hRule="atLeast"/>
        </w:trPr>
        <w:tc>
          <w:tcPr>
            <w:tcW w:w="2432" w:type="dxa"/>
            <w:shd w:val="clear" w:color="auto" w:fill="BEBEBE"/>
          </w:tcPr>
          <w:p>
            <w:pPr>
              <w:pStyle w:val="TableParagraph"/>
              <w:spacing w:before="73"/>
              <w:ind w:left="0"/>
              <w:rPr>
                <w:b/>
                <w:sz w:val="22"/>
              </w:rPr>
            </w:pPr>
          </w:p>
          <w:p>
            <w:pPr>
              <w:pStyle w:val="TableParagraph"/>
              <w:rPr>
                <w:b/>
                <w:sz w:val="22"/>
              </w:rPr>
            </w:pPr>
            <w:r>
              <w:rPr>
                <w:b/>
                <w:spacing w:val="-2"/>
                <w:sz w:val="22"/>
              </w:rPr>
              <w:t>Hora:</w:t>
            </w:r>
          </w:p>
        </w:tc>
        <w:tc>
          <w:tcPr>
            <w:tcW w:w="5082" w:type="dxa"/>
            <w:shd w:val="clear" w:color="auto" w:fill="BEBEBE"/>
          </w:tcPr>
          <w:p>
            <w:pPr>
              <w:pStyle w:val="TableParagraph"/>
              <w:spacing w:before="73"/>
              <w:ind w:left="0"/>
              <w:rPr>
                <w:b/>
                <w:sz w:val="22"/>
              </w:rPr>
            </w:pPr>
          </w:p>
          <w:p>
            <w:pPr>
              <w:pStyle w:val="TableParagraph"/>
              <w:rPr>
                <w:sz w:val="22"/>
              </w:rPr>
            </w:pPr>
            <w:r>
              <w:rPr>
                <w:sz w:val="22"/>
              </w:rPr>
              <w:t>11:00</w:t>
            </w:r>
            <w:r>
              <w:rPr>
                <w:spacing w:val="-3"/>
                <w:sz w:val="22"/>
              </w:rPr>
              <w:t> </w:t>
            </w:r>
            <w:r>
              <w:rPr>
                <w:spacing w:val="-5"/>
                <w:sz w:val="22"/>
              </w:rPr>
              <w:t>AM</w:t>
            </w:r>
          </w:p>
        </w:tc>
      </w:tr>
      <w:tr>
        <w:trPr>
          <w:trHeight w:val="726" w:hRule="atLeast"/>
        </w:trPr>
        <w:tc>
          <w:tcPr>
            <w:tcW w:w="2432" w:type="dxa"/>
            <w:shd w:val="clear" w:color="auto" w:fill="BEBEBE"/>
          </w:tcPr>
          <w:p>
            <w:pPr>
              <w:pStyle w:val="TableParagraph"/>
              <w:spacing w:before="237"/>
              <w:rPr>
                <w:b/>
                <w:sz w:val="22"/>
              </w:rPr>
            </w:pPr>
            <w:r>
              <w:rPr>
                <w:b/>
                <w:spacing w:val="-2"/>
                <w:sz w:val="22"/>
              </w:rPr>
              <w:t>Asistentes:</w:t>
            </w:r>
          </w:p>
        </w:tc>
        <w:tc>
          <w:tcPr>
            <w:tcW w:w="5082" w:type="dxa"/>
            <w:shd w:val="clear" w:color="auto" w:fill="BEBEBE"/>
          </w:tcPr>
          <w:p>
            <w:pPr>
              <w:pStyle w:val="TableParagraph"/>
              <w:spacing w:before="237"/>
              <w:rPr>
                <w:sz w:val="22"/>
              </w:rPr>
            </w:pPr>
            <w:r>
              <w:rPr>
                <w:spacing w:val="-5"/>
                <w:sz w:val="22"/>
              </w:rPr>
              <w:t>114</w:t>
            </w:r>
          </w:p>
        </w:tc>
      </w:tr>
      <w:tr>
        <w:trPr>
          <w:trHeight w:val="726" w:hRule="atLeast"/>
        </w:trPr>
        <w:tc>
          <w:tcPr>
            <w:tcW w:w="2432" w:type="dxa"/>
            <w:tcBorders>
              <w:bottom w:val="nil"/>
            </w:tcBorders>
            <w:shd w:val="clear" w:color="auto" w:fill="BEBEBE"/>
          </w:tcPr>
          <w:p>
            <w:pPr>
              <w:pStyle w:val="TableParagraph"/>
              <w:spacing w:before="237"/>
              <w:rPr>
                <w:b/>
                <w:sz w:val="22"/>
              </w:rPr>
            </w:pPr>
            <w:r>
              <w:rPr>
                <w:b/>
                <w:sz w:val="22"/>
              </w:rPr>
              <w:t>Tema</w:t>
            </w:r>
            <w:r>
              <w:rPr>
                <w:b/>
                <w:spacing w:val="-5"/>
                <w:sz w:val="22"/>
              </w:rPr>
              <w:t> </w:t>
            </w:r>
            <w:r>
              <w:rPr>
                <w:b/>
                <w:spacing w:val="-2"/>
                <w:sz w:val="22"/>
              </w:rPr>
              <w:t>impartido:</w:t>
            </w:r>
          </w:p>
        </w:tc>
        <w:tc>
          <w:tcPr>
            <w:tcW w:w="5082" w:type="dxa"/>
            <w:tcBorders>
              <w:bottom w:val="nil"/>
            </w:tcBorders>
            <w:shd w:val="clear" w:color="auto" w:fill="BEBEBE"/>
          </w:tcPr>
          <w:p>
            <w:pPr>
              <w:pStyle w:val="TableParagraph"/>
              <w:spacing w:before="110"/>
              <w:rPr>
                <w:sz w:val="22"/>
              </w:rPr>
            </w:pPr>
            <w:r>
              <w:rPr>
                <w:sz w:val="22"/>
              </w:rPr>
              <w:t>Generalidades</w:t>
            </w:r>
            <w:r>
              <w:rPr>
                <w:spacing w:val="-4"/>
                <w:sz w:val="22"/>
              </w:rPr>
              <w:t> </w:t>
            </w:r>
            <w:r>
              <w:rPr>
                <w:sz w:val="22"/>
              </w:rPr>
              <w:t>de</w:t>
            </w:r>
            <w:r>
              <w:rPr>
                <w:spacing w:val="-7"/>
                <w:sz w:val="22"/>
              </w:rPr>
              <w:t> </w:t>
            </w:r>
            <w:r>
              <w:rPr>
                <w:sz w:val="22"/>
              </w:rPr>
              <w:t>la</w:t>
            </w:r>
            <w:r>
              <w:rPr>
                <w:spacing w:val="-5"/>
                <w:sz w:val="22"/>
              </w:rPr>
              <w:t> </w:t>
            </w:r>
            <w:r>
              <w:rPr>
                <w:sz w:val="22"/>
              </w:rPr>
              <w:t>Ley</w:t>
            </w:r>
            <w:r>
              <w:rPr>
                <w:spacing w:val="-8"/>
                <w:sz w:val="22"/>
              </w:rPr>
              <w:t> </w:t>
            </w:r>
            <w:r>
              <w:rPr>
                <w:sz w:val="22"/>
              </w:rPr>
              <w:t>de</w:t>
            </w:r>
            <w:r>
              <w:rPr>
                <w:spacing w:val="-5"/>
                <w:sz w:val="22"/>
              </w:rPr>
              <w:t> </w:t>
            </w:r>
            <w:r>
              <w:rPr>
                <w:sz w:val="22"/>
              </w:rPr>
              <w:t>Protección</w:t>
            </w:r>
            <w:r>
              <w:rPr>
                <w:spacing w:val="-5"/>
                <w:sz w:val="22"/>
              </w:rPr>
              <w:t> </w:t>
            </w:r>
            <w:r>
              <w:rPr>
                <w:sz w:val="22"/>
              </w:rPr>
              <w:t>de</w:t>
            </w:r>
            <w:r>
              <w:rPr>
                <w:spacing w:val="-7"/>
                <w:sz w:val="22"/>
              </w:rPr>
              <w:t> </w:t>
            </w:r>
            <w:r>
              <w:rPr>
                <w:sz w:val="22"/>
              </w:rPr>
              <w:t>Datos Personales en posesión de sujetos obligados</w:t>
            </w:r>
          </w:p>
        </w:tc>
      </w:tr>
      <w:tr>
        <w:trPr>
          <w:trHeight w:val="514" w:hRule="atLeast"/>
        </w:trPr>
        <w:tc>
          <w:tcPr>
            <w:tcW w:w="7514" w:type="dxa"/>
            <w:gridSpan w:val="2"/>
            <w:tcBorders>
              <w:top w:val="nil"/>
              <w:bottom w:val="nil"/>
              <w:right w:val="nil"/>
            </w:tcBorders>
          </w:tcPr>
          <w:p>
            <w:pPr>
              <w:pStyle w:val="TableParagraph"/>
              <w:ind w:left="0"/>
              <w:rPr>
                <w:rFonts w:ascii="Times New Roman"/>
                <w:sz w:val="22"/>
              </w:rPr>
            </w:pPr>
          </w:p>
        </w:tc>
      </w:tr>
    </w:tbl>
    <w:p>
      <w:pPr>
        <w:pStyle w:val="BodyText"/>
        <w:spacing w:before="174"/>
        <w:ind w:left="33" w:right="395"/>
        <w:jc w:val="both"/>
      </w:pPr>
      <w:r>
        <w:rPr/>
        <w:t>A esta capacitación asistieron funcionarios de Municipio San Pedro Garza Garcia, N.L., Red Estatal de Autopistas, Contraloría y Transparencia</w:t>
      </w:r>
      <w:r>
        <w:rPr>
          <w:spacing w:val="-6"/>
        </w:rPr>
        <w:t> </w:t>
      </w:r>
      <w:r>
        <w:rPr/>
        <w:t>Gubernamental,</w:t>
      </w:r>
      <w:r>
        <w:rPr>
          <w:spacing w:val="-9"/>
        </w:rPr>
        <w:t> </w:t>
      </w:r>
      <w:r>
        <w:rPr/>
        <w:t>Municipio</w:t>
      </w:r>
      <w:r>
        <w:rPr>
          <w:spacing w:val="-9"/>
        </w:rPr>
        <w:t> </w:t>
      </w:r>
      <w:r>
        <w:rPr/>
        <w:t>Sabinas</w:t>
      </w:r>
      <w:r>
        <w:rPr>
          <w:spacing w:val="-7"/>
        </w:rPr>
        <w:t> </w:t>
      </w:r>
      <w:r>
        <w:rPr/>
        <w:t>Hidalgo,</w:t>
      </w:r>
      <w:r>
        <w:rPr>
          <w:spacing w:val="-6"/>
        </w:rPr>
        <w:t> </w:t>
      </w:r>
      <w:r>
        <w:rPr/>
        <w:t>N.L.,</w:t>
      </w:r>
      <w:r>
        <w:rPr>
          <w:spacing w:val="-6"/>
        </w:rPr>
        <w:t> </w:t>
      </w:r>
      <w:r>
        <w:rPr/>
        <w:t>Colegio</w:t>
      </w:r>
      <w:r>
        <w:rPr>
          <w:spacing w:val="-6"/>
        </w:rPr>
        <w:t> </w:t>
      </w:r>
      <w:r>
        <w:rPr/>
        <w:t>de</w:t>
      </w:r>
      <w:r>
        <w:rPr>
          <w:spacing w:val="-6"/>
        </w:rPr>
        <w:t> </w:t>
      </w:r>
      <w:r>
        <w:rPr/>
        <w:t>Educación</w:t>
      </w:r>
      <w:r>
        <w:rPr>
          <w:spacing w:val="-6"/>
        </w:rPr>
        <w:t> </w:t>
      </w:r>
      <w:r>
        <w:rPr/>
        <w:t>Profesional</w:t>
      </w:r>
      <w:r>
        <w:rPr>
          <w:spacing w:val="-7"/>
        </w:rPr>
        <w:t> </w:t>
      </w:r>
      <w:r>
        <w:rPr/>
        <w:t>Técnica</w:t>
      </w:r>
      <w:r>
        <w:rPr>
          <w:spacing w:val="-9"/>
        </w:rPr>
        <w:t> </w:t>
      </w:r>
      <w:r>
        <w:rPr/>
        <w:t>del</w:t>
      </w:r>
      <w:r>
        <w:rPr>
          <w:spacing w:val="-10"/>
        </w:rPr>
        <w:t> </w:t>
      </w:r>
      <w:r>
        <w:rPr/>
        <w:t>Estado</w:t>
      </w:r>
      <w:r>
        <w:rPr>
          <w:spacing w:val="-8"/>
        </w:rPr>
        <w:t> </w:t>
      </w:r>
      <w:r>
        <w:rPr/>
        <w:t>de</w:t>
      </w:r>
      <w:r>
        <w:rPr>
          <w:spacing w:val="-8"/>
        </w:rPr>
        <w:t> </w:t>
      </w:r>
      <w:r>
        <w:rPr/>
        <w:t>Nuevo</w:t>
      </w:r>
      <w:r>
        <w:rPr>
          <w:spacing w:val="-8"/>
        </w:rPr>
        <w:t> </w:t>
      </w:r>
      <w:r>
        <w:rPr/>
        <w:t>León, Municipio Guadalupe, N.L., Instituto de Innovación y Transferencia de Tecnología de Nuevo León, Secretaría de Igualdad e Inclusion, Municipio</w:t>
      </w:r>
      <w:r>
        <w:rPr>
          <w:spacing w:val="-11"/>
        </w:rPr>
        <w:t> </w:t>
      </w:r>
      <w:r>
        <w:rPr/>
        <w:t>Los</w:t>
      </w:r>
      <w:r>
        <w:rPr>
          <w:spacing w:val="-12"/>
        </w:rPr>
        <w:t> </w:t>
      </w:r>
      <w:r>
        <w:rPr/>
        <w:t>Ramones,</w:t>
      </w:r>
      <w:r>
        <w:rPr>
          <w:spacing w:val="-11"/>
        </w:rPr>
        <w:t> </w:t>
      </w:r>
      <w:r>
        <w:rPr/>
        <w:t>N.L.,</w:t>
      </w:r>
      <w:r>
        <w:rPr>
          <w:spacing w:val="-11"/>
        </w:rPr>
        <w:t> </w:t>
      </w:r>
      <w:r>
        <w:rPr/>
        <w:t>Secretaría</w:t>
      </w:r>
      <w:r>
        <w:rPr>
          <w:spacing w:val="-11"/>
        </w:rPr>
        <w:t> </w:t>
      </w:r>
      <w:r>
        <w:rPr/>
        <w:t>de</w:t>
      </w:r>
      <w:r>
        <w:rPr>
          <w:spacing w:val="-11"/>
        </w:rPr>
        <w:t> </w:t>
      </w:r>
      <w:r>
        <w:rPr/>
        <w:t>Educación,</w:t>
      </w:r>
      <w:r>
        <w:rPr>
          <w:spacing w:val="-11"/>
        </w:rPr>
        <w:t> </w:t>
      </w:r>
      <w:r>
        <w:rPr/>
        <w:t>Instituto</w:t>
      </w:r>
      <w:r>
        <w:rPr>
          <w:spacing w:val="-11"/>
        </w:rPr>
        <w:t> </w:t>
      </w:r>
      <w:r>
        <w:rPr/>
        <w:t>Municipal</w:t>
      </w:r>
      <w:r>
        <w:rPr>
          <w:spacing w:val="-12"/>
        </w:rPr>
        <w:t> </w:t>
      </w:r>
      <w:r>
        <w:rPr/>
        <w:t>de</w:t>
      </w:r>
      <w:r>
        <w:rPr>
          <w:spacing w:val="-11"/>
        </w:rPr>
        <w:t> </w:t>
      </w:r>
      <w:r>
        <w:rPr/>
        <w:t>Planeación</w:t>
      </w:r>
      <w:r>
        <w:rPr>
          <w:spacing w:val="-13"/>
        </w:rPr>
        <w:t> </w:t>
      </w:r>
      <w:r>
        <w:rPr/>
        <w:t>y</w:t>
      </w:r>
      <w:r>
        <w:rPr>
          <w:spacing w:val="-12"/>
        </w:rPr>
        <w:t> </w:t>
      </w:r>
      <w:r>
        <w:rPr/>
        <w:t>Gestión</w:t>
      </w:r>
      <w:r>
        <w:rPr>
          <w:spacing w:val="-11"/>
        </w:rPr>
        <w:t> </w:t>
      </w:r>
      <w:r>
        <w:rPr/>
        <w:t>Urbana</w:t>
      </w:r>
      <w:r>
        <w:rPr>
          <w:spacing w:val="-11"/>
        </w:rPr>
        <w:t> </w:t>
      </w:r>
      <w:r>
        <w:rPr/>
        <w:t>del</w:t>
      </w:r>
      <w:r>
        <w:rPr>
          <w:spacing w:val="-14"/>
        </w:rPr>
        <w:t> </w:t>
      </w:r>
      <w:r>
        <w:rPr/>
        <w:t>Municipio</w:t>
      </w:r>
      <w:r>
        <w:rPr>
          <w:spacing w:val="-11"/>
        </w:rPr>
        <w:t> </w:t>
      </w:r>
      <w:r>
        <w:rPr/>
        <w:t>de</w:t>
      </w:r>
      <w:r>
        <w:rPr>
          <w:spacing w:val="-11"/>
        </w:rPr>
        <w:t> </w:t>
      </w:r>
      <w:r>
        <w:rPr/>
        <w:t>San Pedro Garza García, Nuevo León, Secretaría de Seguridad, Servicios de Salud de Nuevo León, O.P.D., Municipio General Escobedo, N.L., Instituto Estatal de las Mujeres, Instituto Municipal de Desarrollo Policial de Guadalupe, Unidad de Integración Educativa, Municipio General Zuazua, N.L.</w:t>
      </w:r>
    </w:p>
    <w:sectPr>
      <w:type w:val="continuous"/>
      <w:pgSz w:w="15840" w:h="12240" w:orient="landscape"/>
      <w:pgMar w:top="138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ind w:left="5686" w:right="3535" w:hanging="2442"/>
      <w:outlineLvl w:val="1"/>
    </w:pPr>
    <w:rPr>
      <w:rFonts w:ascii="Arial" w:hAnsi="Arial" w:eastAsia="Arial" w:cs="Arial"/>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ind w:left="107"/>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2025-12-16T19:43:35Z</dcterms:created>
  <dcterms:modified xsi:type="dcterms:W3CDTF">2025-12-16T19:43:35Z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LastSaved">
    <vt:filetime>2025-12-16T00:00:00Z</vt:filetime>
  </property>
  <property fmtid="{D5CDD505-2E9C-101B-9397-08002B2CF9AE}" pid="4" name="Producer">
    <vt:lpwstr>iLovePDF</vt:lpwstr>
  </property>
</Properties>
</file>