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AVISO DE PRIVACIDAD SIMPLIFICADO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 GOBIERNO ABIERTO “UNETE”.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Instituto Estatal de Transparencia, Acceso a la Información y Protección de Datos Personales, conocido también por su acrónimo (INFONL) a través del Órgano Interno de Control con domicilio ubicado en Avenida Constitución 1465-1, Col. Centro, en el Municipio de Monterrey, Nuevo León, C.P. 64000,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Finalidad por la cual se obtienen los datos personales.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datos personales solicitados anteriormente, serán utilizados para recepción, registro, llevar a cabo un control de asistencia, asimismo para elaborar informes y, mantener una comunicación efectiva en caso que exista algún inconveniente respecto a las actividades a desarrollar.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Manifestación de negativa para el Tratamiento de sus Datos Personales.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manifestar la negativa de tratamiento de sus datos personales, Usted podrá materializarla ejerciendo los derechos de cancelación u oposición al tratamiento de sus datos personales, por lo que deberá acudir directamente ante la Unidad de Transparencia de este organismo, ubicada en Av. Constitución # 1465-1 Pte, zona centro del municipio de Monterrey, Nuevo León con Código Postal 64000 o por medio electrónico en el correo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ut@infonl.mx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en un horario de 9:00 a 17:00 horas de lunes a viernes en los días hábiles establecidos en el calendario anual de labores de este organismo, asimismo resulta importante resaltar que podrá ejercer sus derechos utilizando la Plataforma Nacional de Transparencia.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Transferencia de datos personales;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informa que no se realizarán transferencias de datos personales, salvo aquéllas que sean necesarias para atender requerimientos de información de una autoridad competente, que estén debidamente fundados y motivados, siempre y cuando no se cuente con determinación en contrario.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Sitio donde podrá consultar el aviso de privacidad integral.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informamos que Usted puede encontrar la información relativa respecto al tratamiento de sus datos personales accediendo al siguiente hipervínculo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https://infonl.mx/descargas/G10_API_Comit%C3%A9_Evaluador_de_Propuestas.docx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o </w:t>
      </w:r>
      <w:r w:rsidDel="00000000" w:rsidR="00000000" w:rsidRPr="00000000">
        <w:rPr>
          <w:rFonts w:ascii="Arial" w:cs="Arial" w:eastAsia="Arial" w:hAnsi="Arial"/>
          <w:rtl w:val="0"/>
        </w:rPr>
        <w:t xml:space="preserve">bien</w:t>
      </w:r>
      <w:r w:rsidDel="00000000" w:rsidR="00000000" w:rsidRPr="00000000">
        <w:rPr>
          <w:rFonts w:ascii="Arial" w:cs="Arial" w:eastAsia="Arial" w:hAnsi="Arial"/>
          <w:rtl w:val="0"/>
        </w:rPr>
        <w:t xml:space="preserve"> de manera presencial en el recinto oficial de este organismo descrito en líneas anteriores.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Fecha de actualización: agosto de 2023</w:t>
      </w:r>
    </w:p>
    <w:sectPr>
      <w:headerReference r:id="rId9" w:type="default"/>
      <w:pgSz w:h="15840" w:w="12240" w:orient="portrait"/>
      <w:pgMar w:bottom="1985" w:top="1843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61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-579868</wp:posOffset>
          </wp:positionV>
          <wp:extent cx="7888406" cy="10039350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8406" cy="10039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0B8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C0B84"/>
  </w:style>
  <w:style w:type="paragraph" w:styleId="Piedepgina">
    <w:name w:val="footer"/>
    <w:basedOn w:val="Normal"/>
    <w:link w:val="PiedepginaCar"/>
    <w:uiPriority w:val="99"/>
    <w:unhideWhenUsed w:val="1"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C0B84"/>
  </w:style>
  <w:style w:type="paragraph" w:styleId="Prrafodelista">
    <w:name w:val="List Paragraph"/>
    <w:basedOn w:val="Normal"/>
    <w:uiPriority w:val="34"/>
    <w:qFormat w:val="1"/>
    <w:rsid w:val="00F6181D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80B7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80B70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1403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665BBF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es-MX"/>
    </w:rPr>
  </w:style>
  <w:style w:type="table" w:styleId="Listaclara-nfasis6">
    <w:name w:val="Light List Accent 6"/>
    <w:basedOn w:val="Tablanormal"/>
    <w:uiPriority w:val="61"/>
    <w:semiHidden w:val="1"/>
    <w:unhideWhenUsed w:val="1"/>
    <w:rsid w:val="002139EC"/>
    <w:pPr>
      <w:spacing w:after="0" w:line="240" w:lineRule="auto"/>
    </w:pPr>
    <w:tblPr>
      <w:tblStyleRowBandSize w:val="1"/>
      <w:tblStyleColBandSize w:val="1"/>
      <w:tblInd w:w="0.0" w:type="nil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afterAutospacing="0" w:afterLines="0" w:before="0" w:beforeAutospacing="0" w:beforeLines="0" w:line="240" w:lineRule="auto"/>
      </w:pPr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type="table" w:styleId="Tablaconcuadrcula4-nfasis5">
    <w:name w:val="Grid Table 4 Accent 5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aconcuadrcula4-nfasis1">
    <w:name w:val="Grid Table 4 Accent 1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nfasis">
    <w:name w:val="Emphasis"/>
    <w:basedOn w:val="Fuentedeprrafopredeter"/>
    <w:uiPriority w:val="20"/>
    <w:qFormat w:val="1"/>
    <w:rsid w:val="008C3FDD"/>
    <w:rPr>
      <w:i w:val="1"/>
      <w:iCs w:val="1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2B32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2B329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B32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2B3294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2B3294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t@infonl.mx" TargetMode="External"/><Relationship Id="rId8" Type="http://schemas.openxmlformats.org/officeDocument/2006/relationships/hyperlink" Target="https://infonl.mx/descargas/G10_API_Comit%C3%A9_Evaluador_de_Propuestas.doc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M9UDcXNVNW6c25PMsAXkQ513EQ==">CgMxLjAyCGguZ2pkZ3hzOAByITFNX2lCM01VVUNxMUI4SWFTbDdxV2ZDd21fY3NsWm1qMA==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2023-08-24T17:04:00Z</dcterms:created>
  <dc:creator>Jonathan  Delgado</dc:creator>
</cp:coreProperties>
</file>