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AVISO DE PRIVACIDAD SIMPLIFICADO ENCUESTA DE PERCEPCIÓN DEL MICROSITIO TRANSPARENCIA ANTE LA CONTINGENCIA</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02">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rPr>
      </w:pPr>
      <w:r w:rsidDel="00000000" w:rsidR="00000000" w:rsidRPr="00000000">
        <w:rPr>
          <w:rFonts w:ascii="Arial" w:cs="Arial" w:eastAsia="Arial" w:hAnsi="Arial"/>
          <w:rtl w:val="0"/>
        </w:rPr>
        <w:t xml:space="preserve">El Instituto Estatal de Transparencia, Acceso a la Información y Protección de Datos Personales, conocido también por su acrónimo (INFONL) a través del Órgano Interno de Control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Rule="auto"/>
        <w:rPr>
          <w:rFonts w:ascii="Arial" w:cs="Arial" w:eastAsia="Arial" w:hAnsi="Arial"/>
          <w:b w:val="1"/>
        </w:rPr>
      </w:pPr>
      <w:r w:rsidDel="00000000" w:rsidR="00000000" w:rsidRPr="00000000">
        <w:rPr>
          <w:rFonts w:ascii="Arial" w:cs="Arial" w:eastAsia="Arial" w:hAnsi="Arial"/>
          <w:b w:val="1"/>
          <w:rtl w:val="0"/>
        </w:rPr>
        <w:t xml:space="preserve">Finalidad por la cual se obtienen los datos personales.</w:t>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Fonts w:ascii="Arial" w:cs="Arial" w:eastAsia="Arial" w:hAnsi="Arial"/>
          <w:rtl w:val="0"/>
        </w:rPr>
        <w:t xml:space="preserve">Los datos personales solicitados anteriormente, serán utilizados para serán utilizados para elaborar un análisis de la información de acuerdo con las variables que permiten estratificar la población, asimismo para elaborar informes y, mantener una comunicación efectiva en caso que exista algún inconveniente respecto al multicitado evento.</w:t>
      </w:r>
    </w:p>
    <w:p w:rsidR="00000000" w:rsidDel="00000000" w:rsidP="00000000" w:rsidRDefault="00000000" w:rsidRPr="00000000" w14:paraId="0000000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Manifestación de negativa para el Tratamiento de sus Datos Personales.</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7">
        <w:r w:rsidDel="00000000" w:rsidR="00000000" w:rsidRPr="00000000">
          <w:rPr>
            <w:rFonts w:ascii="Arial" w:cs="Arial" w:eastAsia="Arial" w:hAnsi="Arial"/>
            <w:color w:val="0000ff"/>
            <w:u w:val="single"/>
            <w:rtl w:val="0"/>
          </w:rPr>
          <w:t xml:space="preserve">ut@infonl.mx</w:t>
        </w:r>
      </w:hyperlink>
      <w:r w:rsidDel="00000000" w:rsidR="00000000" w:rsidRPr="00000000">
        <w:rPr>
          <w:rFonts w:ascii="Arial" w:cs="Arial" w:eastAsia="Arial" w:hAnsi="Arial"/>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0A">
      <w:pPr>
        <w:spacing w:after="0" w:lineRule="auto"/>
        <w:rPr>
          <w:rFonts w:ascii="Arial" w:cs="Arial" w:eastAsia="Arial" w:hAnsi="Arial"/>
          <w:b w:val="1"/>
        </w:rPr>
      </w:pPr>
      <w:r w:rsidDel="00000000" w:rsidR="00000000" w:rsidRPr="00000000">
        <w:rPr>
          <w:rFonts w:ascii="Arial" w:cs="Arial" w:eastAsia="Arial" w:hAnsi="Arial"/>
          <w:b w:val="1"/>
          <w:rtl w:val="0"/>
        </w:rPr>
        <w:t xml:space="preserve">Transferencia de datos personales;</w:t>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0C">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Sitio donde podrá consultar el aviso de privacidad integral.</w:t>
      </w:r>
    </w:p>
    <w:p w:rsidR="00000000" w:rsidDel="00000000" w:rsidP="00000000" w:rsidRDefault="00000000" w:rsidRPr="00000000" w14:paraId="0000000E">
      <w:pPr>
        <w:spacing w:after="0" w:lineRule="auto"/>
        <w:jc w:val="both"/>
        <w:rPr>
          <w:rFonts w:ascii="Arial" w:cs="Arial" w:eastAsia="Arial" w:hAnsi="Arial"/>
          <w:b w:val="1"/>
          <w:i w:val="1"/>
          <w:sz w:val="18"/>
          <w:szCs w:val="18"/>
        </w:rPr>
      </w:pPr>
      <w:r w:rsidDel="00000000" w:rsidR="00000000" w:rsidRPr="00000000">
        <w:rPr>
          <w:rFonts w:ascii="Arial" w:cs="Arial" w:eastAsia="Arial" w:hAnsi="Arial"/>
          <w:rtl w:val="0"/>
        </w:rPr>
        <w:t xml:space="preserve">Le informamos que Usted puede encontrar la información relativa respecto al tratamiento de sus datos personales accediendo al siguiente hipervínculo </w:t>
      </w:r>
      <w:hyperlink r:id="rId8">
        <w:r w:rsidDel="00000000" w:rsidR="00000000" w:rsidRPr="00000000">
          <w:rPr>
            <w:rFonts w:ascii="Arial" w:cs="Arial" w:eastAsia="Arial" w:hAnsi="Arial"/>
            <w:color w:val="1155cc"/>
            <w:u w:val="single"/>
            <w:rtl w:val="0"/>
          </w:rPr>
          <w:t xml:space="preserve">https://infonl.mx/descargas/G12_API_Encuesta_TAC.docx</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w:t>
      </w:r>
      <w:r w:rsidDel="00000000" w:rsidR="00000000" w:rsidRPr="00000000">
        <w:rPr>
          <w:rFonts w:ascii="Arial" w:cs="Arial" w:eastAsia="Arial" w:hAnsi="Arial"/>
          <w:rtl w:val="0"/>
        </w:rPr>
        <w:t xml:space="preserve"> bien de manera presencial en el recinto oficial de este organismo descrito en líneas anteriores. </w:t>
      </w:r>
      <w:r w:rsidDel="00000000" w:rsidR="00000000" w:rsidRPr="00000000">
        <w:rPr>
          <w:rtl w:val="0"/>
        </w:rPr>
      </w:r>
    </w:p>
    <w:p w:rsidR="00000000" w:rsidDel="00000000" w:rsidP="00000000" w:rsidRDefault="00000000" w:rsidRPr="00000000" w14:paraId="0000000F">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creación: septiembre de 2020</w:t>
      </w:r>
    </w:p>
    <w:p w:rsidR="00000000" w:rsidDel="00000000" w:rsidP="00000000" w:rsidRDefault="00000000" w:rsidRPr="00000000" w14:paraId="00000010">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actualización: agosto de 2023</w:t>
      </w:r>
    </w:p>
    <w:sectPr>
      <w:headerReference r:id="rId9"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character" w:styleId="Refdecomentario">
    <w:name w:val="annotation reference"/>
    <w:basedOn w:val="Fuentedeprrafopredeter"/>
    <w:uiPriority w:val="99"/>
    <w:semiHidden w:val="1"/>
    <w:unhideWhenUsed w:val="1"/>
    <w:rsid w:val="00416AAD"/>
    <w:rPr>
      <w:sz w:val="16"/>
      <w:szCs w:val="16"/>
    </w:rPr>
  </w:style>
  <w:style w:type="paragraph" w:styleId="Textocomentario">
    <w:name w:val="annotation text"/>
    <w:basedOn w:val="Normal"/>
    <w:link w:val="TextocomentarioCar"/>
    <w:uiPriority w:val="99"/>
    <w:unhideWhenUsed w:val="1"/>
    <w:rsid w:val="00416AAD"/>
    <w:pPr>
      <w:spacing w:line="240" w:lineRule="auto"/>
    </w:pPr>
    <w:rPr>
      <w:sz w:val="20"/>
      <w:szCs w:val="20"/>
    </w:rPr>
  </w:style>
  <w:style w:type="character" w:styleId="TextocomentarioCar" w:customStyle="1">
    <w:name w:val="Texto comentario Car"/>
    <w:basedOn w:val="Fuentedeprrafopredeter"/>
    <w:link w:val="Textocomentario"/>
    <w:uiPriority w:val="99"/>
    <w:rsid w:val="00416AAD"/>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416AAD"/>
    <w:rPr>
      <w:b w:val="1"/>
      <w:bCs w:val="1"/>
    </w:rPr>
  </w:style>
  <w:style w:type="character" w:styleId="AsuntodelcomentarioCar" w:customStyle="1">
    <w:name w:val="Asunto del comentario Car"/>
    <w:basedOn w:val="TextocomentarioCar"/>
    <w:link w:val="Asuntodelcomentario"/>
    <w:uiPriority w:val="99"/>
    <w:semiHidden w:val="1"/>
    <w:rsid w:val="00416AAD"/>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t@infonl.mx" TargetMode="External"/><Relationship Id="rId8" Type="http://schemas.openxmlformats.org/officeDocument/2006/relationships/hyperlink" Target="https://infonl.mx/descargas/G12_API_Encuesta_TAC.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Kz9ikJgqgI6Le/JBxwRJRCyV7g==">CgMxLjA4AHIhMUlRN2xlX1JuZkw5bjlGWjhNWjQyLVFIZHg2cDJxLWlm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2023-08-24T17:09:00Z</dcterms:created>
  <dc:creator>Jonathan  Delgado</dc:creator>
</cp:coreProperties>
</file>