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AVISO DE PRIVACIDAD INTEGRAL COMITÉ EVALUADOR DE PROPUESTAS CIUDADANAS DEL EJERCICIO DE GOBIERNO ABIERTO EN NUEVO LEÓN.</w:t>
      </w: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Nombre completo, correo electrónico institucional, correo electrónico, teléfono institucional, teléfono, celular, institución a la que pertenece e, imagen.</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B">
      <w:pPr>
        <w:spacing w:after="0" w:line="24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XLVIII, 95 fracciones L y LI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0">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recepción, registro, inscripción, llevar a cabo un control de asistencia, generar las constancias que acreditan que el titular participó o asistió a la reunión del comité evaluador de propuestas ciudadanas, asimismo para elaborar informes y, mantener una comunicación efectiva en caso que exista algún inconveniente respecto multicitado evento,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rsidR="00000000" w:rsidDel="00000000" w:rsidP="00000000" w:rsidRDefault="00000000" w:rsidRPr="00000000" w14:paraId="0000001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7">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8">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21">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22">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23">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2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2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2C">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2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9">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3C">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3F">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9">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2">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 </w:t>
      </w:r>
    </w:p>
    <w:p w:rsidR="00000000" w:rsidDel="00000000" w:rsidP="00000000" w:rsidRDefault="00000000" w:rsidRPr="00000000" w14:paraId="0000004C">
      <w:pPr>
        <w:spacing w:after="0" w:line="240" w:lineRule="auto"/>
        <w:jc w:val="right"/>
        <w:rPr>
          <w:rFonts w:ascii="Arial" w:cs="Arial" w:eastAsia="Arial" w:hAnsi="Arial"/>
          <w:b w:val="1"/>
          <w:i w:val="1"/>
        </w:rPr>
      </w:pPr>
      <w:r w:rsidDel="00000000" w:rsidR="00000000" w:rsidRPr="00000000">
        <w:rPr>
          <w:rFonts w:ascii="Arial" w:cs="Arial" w:eastAsia="Arial" w:hAnsi="Arial"/>
          <w:b w:val="1"/>
          <w:i w:val="1"/>
          <w:rtl w:val="0"/>
        </w:rPr>
        <w:t xml:space="preserve">Fecha de actualización: agosto de 2023</w:t>
      </w:r>
    </w:p>
    <w:sectPr>
      <w:headerReference r:id="rId13"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Refdecomentario">
    <w:name w:val="annotation reference"/>
    <w:basedOn w:val="Fuentedeprrafopredeter"/>
    <w:uiPriority w:val="99"/>
    <w:semiHidden w:val="1"/>
    <w:unhideWhenUsed w:val="1"/>
    <w:rsid w:val="007E7AAC"/>
    <w:rPr>
      <w:sz w:val="16"/>
      <w:szCs w:val="16"/>
    </w:rPr>
  </w:style>
  <w:style w:type="paragraph" w:styleId="Textocomentario">
    <w:name w:val="annotation text"/>
    <w:basedOn w:val="Normal"/>
    <w:link w:val="TextocomentarioCar"/>
    <w:uiPriority w:val="99"/>
    <w:unhideWhenUsed w:val="1"/>
    <w:rsid w:val="007E7AAC"/>
    <w:pPr>
      <w:spacing w:line="240" w:lineRule="auto"/>
    </w:pPr>
    <w:rPr>
      <w:sz w:val="20"/>
      <w:szCs w:val="20"/>
    </w:rPr>
  </w:style>
  <w:style w:type="character" w:styleId="TextocomentarioCar" w:customStyle="1">
    <w:name w:val="Texto comentario Car"/>
    <w:basedOn w:val="Fuentedeprrafopredeter"/>
    <w:link w:val="Textocomentario"/>
    <w:uiPriority w:val="99"/>
    <w:rsid w:val="007E7AA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E7AAC"/>
    <w:rPr>
      <w:b w:val="1"/>
      <w:bCs w:val="1"/>
    </w:rPr>
  </w:style>
  <w:style w:type="character" w:styleId="AsuntodelcomentarioCar" w:customStyle="1">
    <w:name w:val="Asunto del comentario Car"/>
    <w:basedOn w:val="TextocomentarioCar"/>
    <w:link w:val="Asuntodelcomentario"/>
    <w:uiPriority w:val="99"/>
    <w:semiHidden w:val="1"/>
    <w:rsid w:val="007E7AA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ut@infonl.mx" TargetMode="External"/><Relationship Id="rId10" Type="http://schemas.openxmlformats.org/officeDocument/2006/relationships/hyperlink" Target="https://infonl.mx/wp-content/uploads/2023/03/formato-nuevo-solicitud-ARCO.pdf" TargetMode="External"/><Relationship Id="rId13" Type="http://schemas.openxmlformats.org/officeDocument/2006/relationships/header" Target="header1.xml"/><Relationship Id="rId12" Type="http://schemas.openxmlformats.org/officeDocument/2006/relationships/hyperlink" Target="https://infonl.mx/proteccion-de-datos-personales/avisos-de-priv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aZNexyhUdOGYk7vITsEddW+JA==">CgMxLjAyCGguZ2pkZ3hzMgloLjMwajB6bGw4AHIhMTZ4QlNnRnBkdEdfMFF6TC1tcnBONENmSGw3SkJ4NHVp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2023-08-24T17:06:00Z</dcterms:created>
  <dc:creator>Jonathan  Delgado</dc:creator>
</cp:coreProperties>
</file>